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989" w:rsidRPr="007B623D" w:rsidRDefault="00C06989" w:rsidP="00C06989">
      <w:pPr>
        <w:spacing w:before="120"/>
        <w:jc w:val="center"/>
        <w:rPr>
          <w:rFonts w:ascii="Times New Roman" w:hAnsi="Times New Roman" w:cs="Times New Roman"/>
          <w:b/>
          <w:bCs/>
          <w:sz w:val="32"/>
          <w:szCs w:val="32"/>
        </w:rPr>
      </w:pPr>
      <w:bookmarkStart w:id="0" w:name="_Toc37522530"/>
      <w:r w:rsidRPr="007B623D">
        <w:rPr>
          <w:rFonts w:ascii="Times New Roman" w:hAnsi="Times New Roman" w:cs="Times New Roman"/>
          <w:b/>
          <w:bCs/>
          <w:sz w:val="32"/>
          <w:szCs w:val="32"/>
        </w:rPr>
        <w:t>Электронные деньги</w:t>
      </w:r>
    </w:p>
    <w:p w:rsidR="00C06989" w:rsidRPr="007B623D" w:rsidRDefault="00C06989" w:rsidP="00C06989">
      <w:pPr>
        <w:spacing w:before="120"/>
        <w:jc w:val="center"/>
        <w:rPr>
          <w:rFonts w:ascii="Times New Roman" w:hAnsi="Times New Roman" w:cs="Times New Roman"/>
          <w:b/>
          <w:bCs/>
          <w:sz w:val="28"/>
          <w:szCs w:val="28"/>
        </w:rPr>
      </w:pPr>
      <w:bookmarkStart w:id="1" w:name="_Toc37603207"/>
      <w:r w:rsidRPr="007B623D">
        <w:rPr>
          <w:rFonts w:ascii="Times New Roman" w:hAnsi="Times New Roman" w:cs="Times New Roman"/>
          <w:b/>
          <w:bCs/>
          <w:sz w:val="28"/>
          <w:szCs w:val="28"/>
        </w:rPr>
        <w:t>1. Введение.</w:t>
      </w:r>
      <w:bookmarkEnd w:id="0"/>
      <w:bookmarkEnd w:id="1"/>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Интернете есть уже почти все, что может понадобиться для человека. Товары, услуги, общение, возможность самовыражения, игры и т.д.Конечно, за некоторые услуги надо платить и чем быстрее и проще система платежей, тем лучше. Потребность в подобной платежной системе начали ощущать и продавцы, и покупатели. И поэтому были придуманы электронные деньги. Задача любых видов электронных денег - создание универсальной платежной среды, объединяющей покупателей и продавцов товаров и услуг. Цель электронных денег - повышение экономической эффективности Интернета как отрасли в целом.</w:t>
      </w:r>
      <w:r>
        <w:rPr>
          <w:rFonts w:ascii="Times New Roman" w:hAnsi="Times New Roman" w:cs="Times New Roman"/>
        </w:rPr>
        <w:t xml:space="preserve"> </w:t>
      </w:r>
      <w:r w:rsidRPr="005225BF">
        <w:rPr>
          <w:rFonts w:ascii="Times New Roman" w:hAnsi="Times New Roman" w:cs="Times New Roman"/>
        </w:rPr>
        <w:t>Механизм электронных денег таков, что позволяет, не отходя от компьютера оплачивать товары, заключать сделки, вести коммерческую деятельность. Электронные деньги очень похожи на электронные платежные карты , только у вас не карта и пин-код, а логин и пароль с помощью которых вы можете совершать денежные операции. Также в любой момент времени вы можете вывести деньги из сети или ввести их в сеть через банк, почтовым переводом, наличными, кредитной картой и т.п.</w:t>
      </w:r>
    </w:p>
    <w:p w:rsidR="00C06989" w:rsidRPr="007B623D" w:rsidRDefault="00C06989" w:rsidP="00C06989">
      <w:pPr>
        <w:spacing w:before="120"/>
        <w:jc w:val="center"/>
        <w:rPr>
          <w:rFonts w:ascii="Times New Roman" w:hAnsi="Times New Roman" w:cs="Times New Roman"/>
          <w:b/>
          <w:bCs/>
          <w:sz w:val="28"/>
          <w:szCs w:val="28"/>
        </w:rPr>
      </w:pPr>
      <w:bookmarkStart w:id="2" w:name="_Toc37522531"/>
      <w:bookmarkStart w:id="3" w:name="_Toc37603208"/>
      <w:r w:rsidRPr="007B623D">
        <w:rPr>
          <w:rFonts w:ascii="Times New Roman" w:hAnsi="Times New Roman" w:cs="Times New Roman"/>
          <w:b/>
          <w:bCs/>
          <w:sz w:val="28"/>
          <w:szCs w:val="28"/>
        </w:rPr>
        <w:t>2.Сущность электронных денег.</w:t>
      </w:r>
      <w:bookmarkEnd w:id="2"/>
      <w:bookmarkEnd w:id="3"/>
      <w:r w:rsidRPr="007B623D">
        <w:rPr>
          <w:rFonts w:ascii="Times New Roman" w:hAnsi="Times New Roman" w:cs="Times New Roman"/>
          <w:b/>
          <w:bCs/>
          <w:sz w:val="28"/>
          <w:szCs w:val="28"/>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Деньги ХХI века, это деньги электронные - в этом уже нет ни малейших сомнений. Бумажные деньги исчерпали себя полностью, как исчерпал себя и век бумажных денег - ХХ век. Сегодняшний мировой кризис - есть кризис перехода с одних денег на другие. Что же такое электронные деньги?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западной научной литературе идея так называемых «электронных денег», или «электронной наличности, была впервые высказана Дэвидом Чоумом еще в конце 1970-х годов на волне эйфории вокруг первых систем цифровой подписи и цифровых конвертов на основе систем защиты информации с двумя ключами- открытым (общедоступным) и индивидуальным и в настоящее время в отношении указанной дефиниции не вызывает разногласий</w:t>
      </w:r>
      <w:r>
        <w:rPr>
          <w:rFonts w:ascii="Times New Roman" w:hAnsi="Times New Roman" w:cs="Times New Roman"/>
        </w:rPr>
        <w:t xml:space="preserve"> </w:t>
      </w:r>
      <w:r w:rsidRPr="005225BF">
        <w:rPr>
          <w:rFonts w:ascii="Times New Roman" w:hAnsi="Times New Roman" w:cs="Times New Roman"/>
        </w:rPr>
        <w:t>среди исследователей и ведущих банкиров зарубежных стран. Наиболее подробная дефиниция «электронных денег» была предложена О.Иссингом- членом Правления Европейского центрального банка: «электронное хранение денежной стоимости с помощью технического устройства, для осуществления платежей не только в адрес эмитента, но и в адрес других участников». Однако данная дефиниция не является удовлетворительной, поскольку не выделяет существенные признаки характеризуемого понятия и не раскрывает его юридическую природу.</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научной экономической литературе термин «электронные деньги» используется уже довольно давно, с середины 1970-х годов. Многие советские и российские экономисты упоминали в своих научных работах данное понятие, однако использовали его в совершенно разном контексте. Например, группа авторов (В. М. Усоскин, Г. Г. Матюхин и др.) понимают под термином схему безналичных расчетов с использованием «денег в банковском компьютере», пересылаемых по банковским сетям». Другие авторы связывали это понятие с только с банковскими картами и т.д.</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Термин «электронные деньги» зачастую используется в отношении широкого спектра платежных инструментов, базирующихся на инновационных технических решениях в сфере реализации розничных платежей.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Под понятием электронных денег ошибочно понимают традиционные банковские кары (как предавторизованные (микропроцессорные), так и с магнитной полосой), либо</w:t>
      </w:r>
      <w:r>
        <w:rPr>
          <w:rFonts w:ascii="Times New Roman" w:hAnsi="Times New Roman" w:cs="Times New Roman"/>
        </w:rPr>
        <w:t xml:space="preserve"> </w:t>
      </w:r>
      <w:r w:rsidRPr="005225BF">
        <w:rPr>
          <w:rFonts w:ascii="Times New Roman" w:hAnsi="Times New Roman" w:cs="Times New Roman"/>
        </w:rPr>
        <w:t>предоплаченные карты предприятий торговли (сервиса, услуг), содержащие сведения о «предварительно оплаченных товарах-услугах», к которым, в частности, относятся одноцелевые карточные продукты, предлагаемые телефонными и бензозаправочными компаниями, отдельными сетями магазинов или транспортными компаниями. Главная причина ошибочности такого суждения- отсутствие точного определения понятия»электронных денег», раскрывающего их экономическую и правовую сущность, а также отсутствие четких критериев отнесения указанных продуктов к «электронным деньгам».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данной части реферата я попытаюсь дать более точное определение вышеуказанного «инновационного феномена в сфере розничных платежей, основываясь на анализе исследований, проводившихся международными организациями на тему стратегических последствий распространения «электронных денег».</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опубликованном в октябре 1996 г. докладе «Сложности для центральных банков, возникающие в связи с развитием электронных денег, подготовленном Банком международных расчетов, «электронные деньги» трактуются как «денежная стоимость, измеряемая в валютных единицах, хранимая в электронной форме на электронном устройстве, находящемся во владении потребителя. Данная электронная стоимость может быть приобретена потребителем и храниться на устройстве, при этом она сокращается по мере того, как потребитель использует данное устройство с целью совершения покупок.</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Существует два различных вида электронных устройств: карточки с предварительной</w:t>
      </w:r>
      <w:r>
        <w:rPr>
          <w:rFonts w:ascii="Times New Roman" w:hAnsi="Times New Roman" w:cs="Times New Roman"/>
        </w:rPr>
        <w:t xml:space="preserve"> </w:t>
      </w:r>
      <w:r w:rsidRPr="005225BF">
        <w:rPr>
          <w:rFonts w:ascii="Times New Roman" w:hAnsi="Times New Roman" w:cs="Times New Roman"/>
        </w:rPr>
        <w:t>оплатой и программные продукты с предварительной оплатой. Что касается карт с предварительной оплатой, то электронная стоимость хранится на микропроцессоре, встроенном в карту, и стоимость, как правило, передается, когда карточка вставляется в считывающее устройство. Что касается программных продуктов, то электронная стоимость хранится на жестком диске персонального компьютера и передается через телекоммуникационную сеть, подобную Интернету».</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«Докладе об электронных деньгах», опубликованном Европейским центральным банком в августе 1998 г., дается немного иное определение «электронных денег». «Электронные деньги в широком смысле определяются как электронное хранение денежной стоимости на техническом устройстве, которое может широко применяться для осуществления платежей в пользу не только эмитента, но и других фирм, и которое не требует обязательного использования банковских счетов для проведения трансакций, а действует как предоплаченный инструмент на предъявителя».</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Позднее была принята Директива Европейского парламента и Совета от 18 сентября 2000 г. № 2000/46/ЕС «О деятельности в сфере электронных денег и пруденциальном надзоре над институтами, занимающимися этой деятельностью», в которой уточненоопределение электронных денег:</w:t>
      </w:r>
      <w:r>
        <w:rPr>
          <w:rFonts w:ascii="Times New Roman" w:hAnsi="Times New Roman" w:cs="Times New Roman"/>
        </w:rPr>
        <w:t xml:space="preserve"> </w:t>
      </w:r>
      <w:r w:rsidRPr="005225BF">
        <w:rPr>
          <w:rFonts w:ascii="Times New Roman" w:hAnsi="Times New Roman" w:cs="Times New Roman"/>
        </w:rPr>
        <w:t>«денежная стоимость, представляющая собой требование к эмитенту, которая:</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хранится на электронном устройстве;</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эмитируется после получения денежных средств в размере не менее объема принимаемых на себя обязательств;</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принимается в качестве средства платежа не только эмитентом, но и другими фирмами».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Данное определение включает в себя как юридическую, так и экономическую сущность рассматриваемого понятия. Следует отметить, что регулятивная его составляющая устанавливает достаточно жесткие нормы в отношении объема эмиссии «электронных денег» (т.е. объема выпущенных в обращение обязательств банка не может быть больше суммы денежных средств, полученных при их выпуске), исключающие возможность эмиссии необеспеченных «электронных денег».1</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российских официальных документах</w:t>
      </w:r>
      <w:r>
        <w:rPr>
          <w:rFonts w:ascii="Times New Roman" w:hAnsi="Times New Roman" w:cs="Times New Roman"/>
        </w:rPr>
        <w:t xml:space="preserve"> </w:t>
      </w:r>
      <w:r w:rsidRPr="005225BF">
        <w:rPr>
          <w:rFonts w:ascii="Times New Roman" w:hAnsi="Times New Roman" w:cs="Times New Roman"/>
        </w:rPr>
        <w:t>термин «электронные деньги» не встречается. Наиболее близким к понятию электронных денег является термин «предоплаченный финансовый продукт», определение которого содержится в указаниях ЦБ РФ «276-У и №277-У, принятым в 1998 г. В соответствии с данными документами «под предоплаченными финансовыми продуктами понимаются денежные обязательства кредитной организации, заменяющие в процессе их обращения требования юридических и/или физических лиц по оплате товаров или услуг, и в том числе денежные обязательства, составленные в электронной форме». Данное определение также характеризует правовую сторону</w:t>
      </w:r>
      <w:r>
        <w:rPr>
          <w:rFonts w:ascii="Times New Roman" w:hAnsi="Times New Roman" w:cs="Times New Roman"/>
        </w:rPr>
        <w:t xml:space="preserve"> </w:t>
      </w:r>
      <w:r w:rsidRPr="005225BF">
        <w:rPr>
          <w:rFonts w:ascii="Times New Roman" w:hAnsi="Times New Roman" w:cs="Times New Roman"/>
        </w:rPr>
        <w:t>функционирования электронных денег.</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Правовой подход, рассматривающий функционирование электронных денег как совокупности правовых отношений, в соответствии с которым электронные деньги определяются как денежное обязательство эмитента, а в процессе обращения выступают как денежное требование к нему, позволяют провести аналогии между электронными деньгами и дорожными чеками, векселями или беспроцентным займом.</w:t>
      </w:r>
      <w:r w:rsidRPr="005225BF">
        <w:rPr>
          <w:rFonts w:ascii="Times New Roman" w:hAnsi="Times New Roman" w:cs="Times New Roman"/>
        </w:rPr>
        <w:footnoteReference w:customMarkFollows="1" w:id="1"/>
        <w:sym w:font="Symbol" w:char="F031"/>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Определение электронных денег как предоплаченного финансового продукта, которое содержится в вышеупомянутых Указаниях ЦБ РФ и прослеживается в первом из рассмотренных определений Банка международных расчетов, характеризует экономическую сторону их функционирования, поэтому данный подход назовем экономическим.</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Итак, существует три подхода к определению понятия «электронные деньги»: экономический, правовой и технологический. Однако все три подхода взаимосвязаны и характеризуют различные стороны электронных денег. Наиболее полное определение, учитывающее все особенности электронных денег, должно звучать следующим образом.</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это предоплаченный финансовый продукт, который: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А) представляет собой денежное обязательство эмитента;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Б) выпускается после получения эмитентом денежных средств в размере, не меньшем выпускаемой стоимости;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не требует использования при трансакции банковских счетов;</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Г) принимается в качестве средства платежа экономическими субъектами иными, нежели эмитент;</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Д0 информация о размере денежной стоимости хранится в электронной форме на устройстве во владении держателя.</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Пункт «а» отражает правовой подход к определению электронных денег, пункт «д»- технологический. Пункт «в» характеризует свойство электронных денег, которое отличает их от систем удаленного доступа к счета, а пункт «г»- от одноцелевых чиповых карт, например, телефонной компании.2</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Электронные деньги полностью моделируют реальные деньги. При этом, эмиссионная организация - эмитент - выпускает их электронные аналоги, называемые в разных системах по-разному (например, купоны). Далее, они покупаются пользователями, которые с их помощью оплачивают покупки, а затем продавец погашает их у эмитента. При эмиссии каждая денежная единица заверяется электронной печатью, которая проверяется выпускающей структурой перед погашением.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Одна из особенностей физических денег - их анонимность, то есть на них не указано, кто и когда их использовал. Некоторые системы, по аналогии, позволяют покупателю получать электронную наличность так, чтобы нельзя было определить связь между ним и деньгами. Это осуществляется с помощью схемы слепых подписей.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Стоит еще отметить, что при использовании электронных денег отпадает необходимость в аутентификации, поскольку система основана на выпуске денег в обращение перед их использованием.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Ниже приведена схема платежа с помощью цифровых денег.</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Покупатель заранее обменивает реальные деньги на электронные. Хранение наличности у клиента может осуществляться двумя способами, что определяется используемой системой:</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-на жестком диске компьютера.</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-на смарт-картах.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Разные системы предлагают разные схемы обмена. Некоторые открывают специальные счета, на которые перечисляются средства со счета покупателя в обмен на электронные купюры. Некоторые банки могут сами эмитировать электронную наличность. При этом она эмитируется только по запросу клиента с последующим ее перечислением на компьютер или карту этого клиента и снятием денежного эквивалента с его счета. При реализации же слепой подписи покупатель сам создает электронные купюры, пересылает их в банк, где при поступлении реальных денег на счет они заверяются печатью и отправляются обратно клиенту.</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Наряду с удобствами такого хранения, у него имеются и недостатки. Порча диска или смарт-карты оборачивается невозвратимой потерей электронных денег.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Покупатель перечисляет на сервер продавца электронные деньги за покупку.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Деньги предъявляются эмитенту, который проверяет их подлинность.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случае подлинности электронных купюр счет продавца увеличивается на сумму покупки, а покупателю отгружается товар или оказывается услуга.</w:t>
      </w:r>
      <w:r w:rsidRPr="005225BF">
        <w:rPr>
          <w:rFonts w:ascii="Times New Roman" w:hAnsi="Times New Roman" w:cs="Times New Roman"/>
        </w:rPr>
        <w:footnoteReference w:customMarkFollows="1" w:id="2"/>
        <w:sym w:font="Symbol" w:char="F033"/>
      </w:r>
      <w:r w:rsidR="009370C0">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pt;height:190.5pt">
            <v:imagedata r:id="rId6" o:title=""/>
          </v:shape>
        </w:pict>
      </w:r>
      <w:r>
        <w:rPr>
          <w:rFonts w:ascii="Times New Roman" w:hAnsi="Times New Roman" w:cs="Times New Roman"/>
        </w:rPr>
        <w:t xml:space="preserve"> </w:t>
      </w:r>
    </w:p>
    <w:p w:rsidR="00C06989" w:rsidRPr="007B623D" w:rsidRDefault="00C06989" w:rsidP="00C06989">
      <w:pPr>
        <w:spacing w:before="120"/>
        <w:jc w:val="center"/>
        <w:rPr>
          <w:rFonts w:ascii="Times New Roman" w:hAnsi="Times New Roman" w:cs="Times New Roman"/>
          <w:b/>
          <w:bCs/>
          <w:sz w:val="32"/>
          <w:szCs w:val="32"/>
        </w:rPr>
      </w:pPr>
      <w:bookmarkStart w:id="4" w:name="_Toc37522532"/>
      <w:bookmarkStart w:id="5" w:name="_Toc37603209"/>
      <w:r w:rsidRPr="007B623D">
        <w:rPr>
          <w:rFonts w:ascii="Times New Roman" w:hAnsi="Times New Roman" w:cs="Times New Roman"/>
          <w:b/>
          <w:bCs/>
          <w:sz w:val="32"/>
          <w:szCs w:val="32"/>
        </w:rPr>
        <w:t>2.1. История развития электронных денег.</w:t>
      </w:r>
      <w:bookmarkEnd w:id="4"/>
      <w:bookmarkEnd w:id="5"/>
    </w:p>
    <w:p w:rsidR="00C06989" w:rsidRPr="005225BF" w:rsidRDefault="00C06989" w:rsidP="00C06989">
      <w:pPr>
        <w:spacing w:before="120"/>
        <w:jc w:val="center"/>
        <w:rPr>
          <w:rFonts w:ascii="Times New Roman" w:hAnsi="Times New Roman" w:cs="Times New Roman"/>
        </w:rPr>
      </w:pPr>
      <w:r w:rsidRPr="005225BF">
        <w:rPr>
          <w:rFonts w:ascii="Times New Roman" w:hAnsi="Times New Roman" w:cs="Times New Roman"/>
        </w:rPr>
        <w:t xml:space="preserve">Не останавливаясь подробно на истории развития денег, расскажу лишь о том, как происходило развитие электронных денег в мире.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Сущность современных изменений денежной формы состоит в том, что происходит дальнейшая эволюция методов авторизованного перевода средств с одного счета на другой.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XIII в., когда покупатель хотел заплатить продавцу путем депозитного трансферта ,он должен был один (или вместе с продавцом) встретиться лично с банкиром, чтобы устно санкционировать перевод средств. Бумажные чеки, снабженные письменным приказом (подписью), появились в XIV в. и получили широкое распространение илшь в XVII в. телеграфные приказы о немедленном переводе денежных средств с одного счета на другой, т.е. приказы, отдаваемые дистанционно</w:t>
      </w:r>
      <w:r>
        <w:rPr>
          <w:rFonts w:ascii="Times New Roman" w:hAnsi="Times New Roman" w:cs="Times New Roman"/>
        </w:rPr>
        <w:t xml:space="preserve"> </w:t>
      </w:r>
      <w:r w:rsidRPr="005225BF">
        <w:rPr>
          <w:rFonts w:ascii="Times New Roman" w:hAnsi="Times New Roman" w:cs="Times New Roman"/>
        </w:rPr>
        <w:t xml:space="preserve">без использования бумажных документов, появились и получили широкое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распространение во второй половине XX</w:t>
      </w:r>
      <w:r>
        <w:rPr>
          <w:rFonts w:ascii="Times New Roman" w:hAnsi="Times New Roman" w:cs="Times New Roman"/>
        </w:rPr>
        <w:t xml:space="preserve"> </w:t>
      </w:r>
      <w:r w:rsidRPr="005225BF">
        <w:rPr>
          <w:rFonts w:ascii="Times New Roman" w:hAnsi="Times New Roman" w:cs="Times New Roman"/>
        </w:rPr>
        <w:t>в., превратившись впоследствии в «электроннные телеграф».</w:t>
      </w:r>
      <w:r>
        <w:rPr>
          <w:rFonts w:ascii="Times New Roman" w:hAnsi="Times New Roman" w:cs="Times New Roman"/>
        </w:rPr>
        <w:t xml:space="preserve"> </w:t>
      </w:r>
      <w:r w:rsidRPr="005225BF">
        <w:rPr>
          <w:rFonts w:ascii="Times New Roman" w:hAnsi="Times New Roman" w:cs="Times New Roman"/>
        </w:rPr>
        <w:t>Электронные переводы денежных средств, широко распространившиеся в 70-е годы, позволили индивидуальным пользователям получать доступ к платежной системе для того, чтобы с помощью дебетовой карты или персонального компьютера совершать платежи. Они являются не чем иным, как использованием телеграфных переводов на уровне розничных транзакций.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являются следующей ступенью их развития как средства платежа.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Первым этапом развития электронных денег (1960-1980-е годы) стало внедрение в обращение магнитных кредитных дебетовых карт, а также широкое использование электронной системы платежей.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Вторым этапом (1990-2000-е годы) стало внедрение в обращение смарт-карт или «карт с хранимой суммой». В настоящее время большинство западных исследователей рассматривает смарт-карты в качестве одного из элементов электронных денег. В то же время смарт-карты являются одним из инструментов электронных денег, так называемым «продуктом-ключом».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За эти годы магнитные карты и смарт-карты не заменили наличные деньги, а лишь дали их обладателям</w:t>
      </w:r>
      <w:r>
        <w:rPr>
          <w:rFonts w:ascii="Times New Roman" w:hAnsi="Times New Roman" w:cs="Times New Roman"/>
        </w:rPr>
        <w:t xml:space="preserve"> </w:t>
      </w:r>
      <w:r w:rsidRPr="005225BF">
        <w:rPr>
          <w:rFonts w:ascii="Times New Roman" w:hAnsi="Times New Roman" w:cs="Times New Roman"/>
        </w:rPr>
        <w:t>возможность более эффективно распоряжаться своими счетами в банках. Несмотря на то, что современные системы безналичных расчетов с помощью карт обладают массой очевидных преимуществ (снижение издержек обращение, безопасность, удобство использования, дополнительные льготы и т.д.), наличные деньги окончательно не исчезают из оборота и, более того, в последние годы не наблюдается тенденции к сокращению их доли в мировом обороте (на долю. Наличных денег сейчас приходится около 10-20% от общей денежной массы). Это происходит потому, что наличные расчеты, со своей стороны, обладают рядом положительных, с точки зрения плательщика, свойств: во-первых, возможностью безусловного и неограниченного распоряжения своими средствами, во-вторых, большей, по сравнению с системами электронных расчетов, оперативностью, в-третьих, что особенно важно, анонимностью. Поэтому основной смысл внедрения в обращение электронных денег заключается в совмещении преимуществ наличного и электронного оборота денежной массы.</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Третий этап развития электронной денежной формы (2000-2010-е годы) характеризуется появлением новых видов электронных денег- «сетевых денег», которые позволяют осуществлять платежи в режиме реального времени или «он-лайн» в компьютерных сетях. Эти платежи возможны благодаря специально разработанному программному обеспечению.</w:t>
      </w:r>
      <w:r w:rsidRPr="005225BF">
        <w:rPr>
          <w:rFonts w:ascii="Times New Roman" w:hAnsi="Times New Roman" w:cs="Times New Roman"/>
        </w:rPr>
        <w:footnoteReference w:customMarkFollows="1" w:id="3"/>
        <w:sym w:font="Symbol" w:char="F034"/>
      </w:r>
    </w:p>
    <w:p w:rsidR="00C06989" w:rsidRPr="007B623D" w:rsidRDefault="00C06989" w:rsidP="00C06989">
      <w:pPr>
        <w:spacing w:before="120"/>
        <w:jc w:val="center"/>
        <w:rPr>
          <w:rFonts w:ascii="Times New Roman" w:hAnsi="Times New Roman" w:cs="Times New Roman"/>
          <w:b/>
          <w:bCs/>
          <w:sz w:val="28"/>
          <w:szCs w:val="28"/>
        </w:rPr>
      </w:pPr>
      <w:bookmarkStart w:id="6" w:name="_Toc37522533"/>
      <w:bookmarkStart w:id="7" w:name="_Toc37603210"/>
      <w:r w:rsidRPr="007B623D">
        <w:rPr>
          <w:rFonts w:ascii="Times New Roman" w:hAnsi="Times New Roman" w:cs="Times New Roman"/>
          <w:b/>
          <w:bCs/>
          <w:sz w:val="28"/>
          <w:szCs w:val="28"/>
        </w:rPr>
        <w:t>2.2.Виды электронных денег.</w:t>
      </w:r>
      <w:bookmarkEnd w:id="6"/>
      <w:bookmarkEnd w:id="7"/>
      <w:r w:rsidRPr="007B623D">
        <w:rPr>
          <w:rFonts w:ascii="Times New Roman" w:hAnsi="Times New Roman" w:cs="Times New Roman"/>
          <w:b/>
          <w:bCs/>
          <w:sz w:val="28"/>
          <w:szCs w:val="28"/>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Обычно выделяют два вида электронных денег: на базе карт (card-based) и на базе сетей (network-based). В первую группу входят пластиковые карты со встроенным микропроцессором, на который записан эквивалент денежной стоимости, заранее оплаченной эмитенту, которым может являться как банк, так и небанковская организация. Наиболее известный пример электронных денег на базе карт, эмитированных банковскими организациями карты Mondex. С помощью специального электронного бумажника можно проверить остаток на карте и перевести денежную стоимость на другую карту, а с помощью специальной приставки- послать по телефону и т.д. Другая широко распространенная система VisaCash. Во многих странах существуют свои системы электронных платежей на базе смарт-карт.</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 настоящее время смарт-карты, выпущенные небанковскими организациями и позволяющие осуществлять платежные операции, достаточно широко распространены. Это телефонные, транспортные, медицинские и другие карточки. Однако большинство из них являются одноцелевыми, то есть позволяющими оплачивать услуги (товары) только в пользу одной компании. Как только появляется возможность расплатиться, например, телефонной карточкой (как это сделали некоторые телефонные компании Японии) или карточкой городского транспорта (как это практикуется в Нью-Йорке) за товары или услуги других компаний, например, в супермаркете, такой платежный инструмент переходит в разряд электронных денег.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Во многих странах успешно развиваются системы электронных денег на базе сетей (была разработана Д. Чоумом), которая стала реально осуществимой с развитием криптографических алгоритмов шифрования с открытым ключом и слепой подписи. Из наиболее известных систем сетевых денег (network money) следует отметить CyberCash,DigiCash, FirstVirtual, а также российские PayCash и WebMoney.</w:t>
      </w:r>
      <w:r>
        <w:rPr>
          <w:rFonts w:ascii="Times New Roman" w:hAnsi="Times New Roman" w:cs="Times New Roman"/>
        </w:rPr>
        <w:t xml:space="preserve"> </w:t>
      </w:r>
      <w:r w:rsidRPr="005225BF">
        <w:rPr>
          <w:rFonts w:ascii="Times New Roman" w:hAnsi="Times New Roman" w:cs="Times New Roman"/>
        </w:rPr>
        <w:t>Для проведения платежей с использованием сетевых денег, необходимо установить специальное программное обеспечение, обычно бесплатное. Сетевые деньги используются, как правило, для</w:t>
      </w:r>
      <w:r>
        <w:rPr>
          <w:rFonts w:ascii="Times New Roman" w:hAnsi="Times New Roman" w:cs="Times New Roman"/>
        </w:rPr>
        <w:t xml:space="preserve"> </w:t>
      </w:r>
      <w:r w:rsidRPr="005225BF">
        <w:rPr>
          <w:rFonts w:ascii="Times New Roman" w:hAnsi="Times New Roman" w:cs="Times New Roman"/>
        </w:rPr>
        <w:t>платежей в Интернет-магазинах, виртуальных казино и биржах, а также для оплаты других товаров и услуг, заказ которых происходит через Интернет. Важно подчеркнуть, что к е-наличности относятся лишь многоцелевые карты (используемые для платежей в пользу не только самих эмитентов карт, но и других фирм).</w:t>
      </w:r>
      <w:r w:rsidRPr="005225BF">
        <w:rPr>
          <w:rFonts w:ascii="Times New Roman" w:hAnsi="Times New Roman" w:cs="Times New Roman"/>
        </w:rPr>
        <w:footnoteReference w:customMarkFollows="1" w:id="4"/>
        <w:sym w:font="Symbol" w:char="F035"/>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Ч. Фридмэн, известный американский исследователь, профессор отделения экономики Гарвардского университета, добавляет к этим двум группам еще «устройство доступа» (access devices)- торговые автоматы и системы дистанционных банковских услуг по телефону или через компьютер. Однако, такие е-деньги, подчеркивает он, концептуально ничем не отличаются от традиционных средств платежа и не создают для центральных банков никаких новых проблем в области денежной политики.</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Считается, что со временем электронные деньги первой группы могут вытеснить традиционную наличность и чеки, тогда как электронные деньги второй группы заменят кредитные карты, а также возьмут на себя расчетные функции в обход центральных банков.</w:t>
      </w:r>
      <w:r w:rsidRPr="005225BF">
        <w:rPr>
          <w:rFonts w:ascii="Times New Roman" w:hAnsi="Times New Roman" w:cs="Times New Roman"/>
        </w:rPr>
        <w:footnoteReference w:customMarkFollows="1" w:id="5"/>
        <w:sym w:font="Symbol" w:char="F036"/>
      </w:r>
    </w:p>
    <w:p w:rsidR="00C06989" w:rsidRPr="007B623D" w:rsidRDefault="00C06989" w:rsidP="00C06989">
      <w:pPr>
        <w:spacing w:before="120"/>
        <w:jc w:val="center"/>
        <w:rPr>
          <w:rFonts w:ascii="Times New Roman" w:hAnsi="Times New Roman" w:cs="Times New Roman"/>
          <w:b/>
          <w:bCs/>
          <w:sz w:val="32"/>
          <w:szCs w:val="32"/>
        </w:rPr>
      </w:pPr>
      <w:bookmarkStart w:id="8" w:name="_Toc37522534"/>
      <w:bookmarkStart w:id="9" w:name="_Toc37603211"/>
      <w:r w:rsidRPr="007B623D">
        <w:rPr>
          <w:rFonts w:ascii="Times New Roman" w:hAnsi="Times New Roman" w:cs="Times New Roman"/>
          <w:b/>
          <w:bCs/>
          <w:sz w:val="32"/>
          <w:szCs w:val="32"/>
        </w:rPr>
        <w:t>3.Электронные деньги в экономике.</w:t>
      </w:r>
      <w:bookmarkEnd w:id="8"/>
      <w:bookmarkEnd w:id="9"/>
    </w:p>
    <w:p w:rsidR="00C06989" w:rsidRPr="007B623D" w:rsidRDefault="00C06989" w:rsidP="00C06989">
      <w:pPr>
        <w:spacing w:before="120"/>
        <w:jc w:val="center"/>
        <w:rPr>
          <w:rFonts w:ascii="Times New Roman" w:hAnsi="Times New Roman" w:cs="Times New Roman"/>
          <w:b/>
          <w:bCs/>
          <w:sz w:val="28"/>
          <w:szCs w:val="28"/>
        </w:rPr>
      </w:pPr>
      <w:bookmarkStart w:id="10" w:name="_Toc37522535"/>
      <w:bookmarkStart w:id="11" w:name="_Toc37603212"/>
      <w:r w:rsidRPr="007B623D">
        <w:rPr>
          <w:rFonts w:ascii="Times New Roman" w:hAnsi="Times New Roman" w:cs="Times New Roman"/>
          <w:b/>
          <w:bCs/>
          <w:sz w:val="28"/>
          <w:szCs w:val="28"/>
        </w:rPr>
        <w:t>3.1. Денежная эмиссия и контроль над ней.</w:t>
      </w:r>
      <w:bookmarkEnd w:id="10"/>
      <w:bookmarkEnd w:id="11"/>
      <w:r w:rsidRPr="007B623D">
        <w:rPr>
          <w:rFonts w:ascii="Times New Roman" w:hAnsi="Times New Roman" w:cs="Times New Roman"/>
          <w:b/>
          <w:bCs/>
          <w:sz w:val="28"/>
          <w:szCs w:val="28"/>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 мнению ряда финансистов, в условиях глобализации финансовых институтов и рынков денежно-кредитные отношения эволюционируют в сторону основных положений теории «перманентного роста конкурентных предложений частных денег» лауреата Нобелевской премии Ф. А. Хайека. Под частными деньгами он понимал деньги, являющиеся законным средством платежа и существующие без какого-либо участия правительства. Он исходил из того, что государственная монополия на эмиссию денег в качестве законного платежного средства является сравнительно новым явлением в истории финансов: « В истории нет оправдывающего обстоятельства для имеющейся правительственной монополии</w:t>
      </w:r>
      <w:r>
        <w:rPr>
          <w:rFonts w:ascii="Times New Roman" w:hAnsi="Times New Roman" w:cs="Times New Roman"/>
        </w:rPr>
        <w:t xml:space="preserve"> </w:t>
      </w:r>
      <w:r w:rsidRPr="005225BF">
        <w:rPr>
          <w:rFonts w:ascii="Times New Roman" w:hAnsi="Times New Roman" w:cs="Times New Roman"/>
        </w:rPr>
        <w:t>на эмиссию денег. Никогда не существовало обоснованных аргументов в пользу того, что деньги, которые нам даст правительство, будут лучше чьих-либо других денег. Как только привилегия на эмиссию денег впервые была представлена в качестве королевской прерогативы, ее всегда защищали, поскольку право выпуска денег было необходимым для финансирования деятельности правительства. И не для того, чтобы дать нам хорошие деньги, а длят ого, чтобы предоставить правительству доступ к ресурсам, из которых оно может черпать нужные ему деньги, используя для этого печатный станок».</w:t>
      </w:r>
      <w:r w:rsidRPr="005225BF">
        <w:rPr>
          <w:rFonts w:ascii="Times New Roman" w:hAnsi="Times New Roman" w:cs="Times New Roman"/>
        </w:rPr>
        <w:footnoteReference w:customMarkFollows="1" w:id="6"/>
        <w:sym w:font="Symbol" w:char="F037"/>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Весьма распространенные в отношении электронных денег вопросы - увеличивает ли эмиссия электронных денег размеры денежной массы в стране и может ли такая эмиссия привести к увеличению инфляции. </w:t>
      </w:r>
    </w:p>
    <w:tbl>
      <w:tblPr>
        <w:tblW w:w="5000" w:type="pct"/>
        <w:tblInd w:w="-108" w:type="dxa"/>
        <w:tblLook w:val="0000" w:firstRow="0" w:lastRow="0" w:firstColumn="0" w:lastColumn="0" w:noHBand="0" w:noVBand="0"/>
      </w:tblPr>
      <w:tblGrid>
        <w:gridCol w:w="520"/>
        <w:gridCol w:w="9337"/>
      </w:tblGrid>
      <w:tr w:rsidR="00C06989" w:rsidRPr="005225BF" w:rsidTr="009A4A59">
        <w:trPr>
          <w:cantSplit/>
          <w:trHeight w:val="1134"/>
        </w:trPr>
        <w:tc>
          <w:tcPr>
            <w:tcW w:w="264" w:type="pct"/>
            <w:tcBorders>
              <w:top w:val="nil"/>
              <w:left w:val="nil"/>
              <w:bottom w:val="nil"/>
              <w:right w:val="nil"/>
            </w:tcBorders>
            <w:textDirection w:val="btLr"/>
          </w:tcPr>
          <w:p w:rsidR="00C06989" w:rsidRPr="005225BF" w:rsidRDefault="00C06989" w:rsidP="009A4A59">
            <w:pPr>
              <w:jc w:val="both"/>
              <w:rPr>
                <w:rFonts w:ascii="Times New Roman" w:hAnsi="Times New Roman" w:cs="Times New Roman"/>
              </w:rPr>
            </w:pPr>
            <w:r w:rsidRPr="005225BF">
              <w:rPr>
                <w:rFonts w:ascii="Times New Roman" w:hAnsi="Times New Roman" w:cs="Times New Roman"/>
              </w:rPr>
              <w:t xml:space="preserve">Ответ эксперта с </w:t>
            </w:r>
            <w:r w:rsidRPr="0058756F">
              <w:rPr>
                <w:rFonts w:ascii="Times New Roman" w:hAnsi="Times New Roman" w:cs="Times New Roman"/>
              </w:rPr>
              <w:t>www.e-commerce.ru</w:t>
            </w:r>
          </w:p>
        </w:tc>
        <w:tc>
          <w:tcPr>
            <w:tcW w:w="4736" w:type="pct"/>
            <w:tcBorders>
              <w:top w:val="nil"/>
              <w:left w:val="nil"/>
              <w:bottom w:val="nil"/>
              <w:right w:val="nil"/>
            </w:tcBorders>
          </w:tcPr>
          <w:p w:rsidR="00C06989" w:rsidRDefault="00C06989" w:rsidP="009A4A59">
            <w:pPr>
              <w:jc w:val="both"/>
              <w:rPr>
                <w:rFonts w:ascii="Times New Roman" w:hAnsi="Times New Roman" w:cs="Times New Roman"/>
              </w:rPr>
            </w:pPr>
            <w:r w:rsidRPr="005225BF">
              <w:rPr>
                <w:rFonts w:ascii="Times New Roman" w:hAnsi="Times New Roman" w:cs="Times New Roman"/>
              </w:rPr>
              <w:t xml:space="preserve"> Эмиссия электронных денег может влиять на состояние денежной массы страны только в том случае, если их эмитентом выступает государство (Центральный банк) и которые обеспечены валютным (золотым) запасом этого государства.</w:t>
            </w:r>
            <w:r>
              <w:rPr>
                <w:rFonts w:ascii="Times New Roman" w:hAnsi="Times New Roman" w:cs="Times New Roman"/>
              </w:rPr>
              <w:t xml:space="preserve"> </w:t>
            </w:r>
          </w:p>
          <w:p w:rsidR="00C06989" w:rsidRPr="005225BF" w:rsidRDefault="00C06989" w:rsidP="009A4A59">
            <w:pPr>
              <w:jc w:val="both"/>
              <w:rPr>
                <w:rFonts w:ascii="Times New Roman" w:hAnsi="Times New Roman" w:cs="Times New Roman"/>
              </w:rPr>
            </w:pPr>
            <w:r w:rsidRPr="005225BF">
              <w:rPr>
                <w:rFonts w:ascii="Times New Roman" w:hAnsi="Times New Roman" w:cs="Times New Roman"/>
              </w:rPr>
              <w:t>К этому вопросу есть и такой политический подход: всемирные электронные деньги - единая мировая электронная валюта.</w:t>
            </w:r>
          </w:p>
        </w:tc>
      </w:tr>
    </w:tbl>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США Бюджетное Управление Конгресса заявило в своем отчете за июнь 1996 г., что выпуск электронных денег частными компаниями может негативно повлиять на способность Федеральной Резервной Системы контролировать денежный запас и управлять им. Такой потенциальный риск относится и выпуску электронных денег не депозитарными организациями, которые не обязаны отчитываться перед Федеральной Резервной Системой. Однако, как мне кажется, большинство опасений вряд ли обосновано и объясняются недостаточным пониманием природы электронных денег. Оценивая потенциальные последствия появления в обращении электронных денег, необходимо иметь в виду следующее:</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Если ликвидность электронных денег, эмитированных частной компанией, не поддерживается государством, то опасения со стороны государственных органов о стабильности денежной системы совершенно напрасны - ведь не беспокоятся американские власти о том, что валюта какой-нибудь маленькой банановой республики вдруг появится у них в обращении и повлияет на размеры денежной массы. Более того, сейчас уже ясно, что экспансия доллара в Россию привела не к ослаблению, а усилению национальной валюты и укреплению денежного обращения. Наоборот, всеобщая долларизация - результат и показатель слабости национальной валюты и сейчас мы видим, что по мере укрепления рубля доллар все больше вытесняется из обращения. Т.е., для сильной валюты наличие конкурирующей валюты ничем не грозит, для слабой же является стимулом к ее усилению.</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Неверным является отношение к электронным деньгам, как к конкурирующей альтернативе деньгам обычным. Само их появление вызвано необходимостью обеспечить поддержку коммерческих операций в Internet там, где использование обычных денег неудобно либо невозможно. Потому стоит рассматривать электронные деньги как дополнение к реальным деньгам, либо как еще один инструмент осуществления торговых операций в Internet, дополняющий карточки.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не увеличивают массу денег, но очевидным образом увеличивают скорость обращения - ведь это прежде всего средство ускорения и обеспечения операций там, где использование обычных денег либо неудобно, либо вообще неприменимо. Поэтому, некоторое увеличение инфляции за счет ускорения обращения возможно, однако, очевидно, что в целом это процесс положительный, ведь нельзя признать за благо сдерживание инфляции за счет того, что часть денежной массы не может быть использована, так как всегда находится "в пути", а часть операций не проводится, так как осуществлять их, используя существующие формы денежного обращения, неудобно или вовсе невозможно.</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Очевидные проблемы с использо ванием электронных денег могут возникать с их ликвидностью, выраженной в стоимости в реальных деньгах и с обязательствами, накладываемыми на эмитента - аналогично проблемам с использованием ценных бумаг. Отсюда следует, что данная сфера деятельности будет нуждаться в регулировании, возможно аналогичном существующему на рынке ценных бумаг. Поскольку, как правило, практика появления новых финансовых инструментов идет впереди, а соответствующее регулирование создается потом, то, вероятно, не удастся избежать как минимум локальных катаклизмов, связанных с взлетами и падениями курсов запущенных в оборот электронных денег.</w:t>
      </w:r>
      <w:r w:rsidRPr="005225BF">
        <w:rPr>
          <w:rFonts w:ascii="Times New Roman" w:hAnsi="Times New Roman" w:cs="Times New Roman"/>
        </w:rPr>
        <w:footnoteReference w:customMarkFollows="1" w:id="7"/>
        <w:sym w:font="Symbol" w:char="F038"/>
      </w:r>
    </w:p>
    <w:p w:rsidR="00C06989" w:rsidRPr="007B623D" w:rsidRDefault="00C06989" w:rsidP="00C06989">
      <w:pPr>
        <w:spacing w:before="120"/>
        <w:jc w:val="center"/>
        <w:rPr>
          <w:rFonts w:ascii="Times New Roman" w:hAnsi="Times New Roman" w:cs="Times New Roman"/>
          <w:b/>
          <w:bCs/>
          <w:sz w:val="32"/>
          <w:szCs w:val="32"/>
        </w:rPr>
      </w:pPr>
      <w:bookmarkStart w:id="12" w:name="_Toc37522536"/>
      <w:bookmarkStart w:id="13" w:name="_Toc37603213"/>
      <w:r w:rsidRPr="007B623D">
        <w:rPr>
          <w:rFonts w:ascii="Times New Roman" w:hAnsi="Times New Roman" w:cs="Times New Roman"/>
          <w:b/>
          <w:bCs/>
          <w:sz w:val="32"/>
          <w:szCs w:val="32"/>
        </w:rPr>
        <w:t>3.2. Валютный контроль и безопасность электронных денег.</w:t>
      </w:r>
      <w:bookmarkEnd w:id="12"/>
      <w:bookmarkEnd w:id="13"/>
      <w:r w:rsidRPr="007B623D">
        <w:rPr>
          <w:rFonts w:ascii="Times New Roman" w:hAnsi="Times New Roman" w:cs="Times New Roman"/>
          <w:b/>
          <w:bCs/>
          <w:sz w:val="32"/>
          <w:szCs w:val="32"/>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Такой контроль отсутствует во многих цивилизованных странах, а в остальных явно видна тенденция к его либерализации. Развитие финансовых операций в Internet приведет к ускорению этого процесса и полной ликвидации такого контроля по крайней мере в сфере розничных операций.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Суть идеи Чоума состояла в так называемой системе "слепой" цифровой подписи, когда подписывающий информацию видит ее лишь в части ему необходимой, но своей цифровой подписью заверяет подлинность всей информации: эмитент видит достоинство купюр, но не знает их серийных номеров, которые знает только их владелец.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При этом математически точно доказывается, что такой "слепой" подписью гарантируется подлинность всего содержимого купюры с той же надежностью, что и обычной цифровой подписью, которая стала за последние годы одним из самых популярных средств подтверждения подлинности электронных документов. Систем слепой подписи за прошедшие 25 лет было изобретено немного.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Наиболее известные из них запатентованы самим Дэвидом Чоумом. Сейчас он возглавляет голландскую компанию DigiCash которая реализует около двух десятков конкретных пилотных проектов в области электронных денег для западноевропейских и американских банков и финансовых компаний.</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Основываясь на своем know-how в области однонаправленных функций, то есть функций, гарантирующих невозможность восстановления индивидуального ключа подписывния по общедоступному ключу проверки подписи, мы разработали свою собственную схему "слепой" подписи, которая обеспечивает при "эмиссии электронных денег" тот же уровень надежности, что и схема Чоума, но может быть реализована значительно эффективней и компактней за счет более полного использования возможностей процессора. Это позволяет реализовывать системы оборота электронных денег эквивалентные наиболее стойкому из известных алгоритмов, не нарушая при этом чужих патентных прав, на распространенной сейчас в российских банках вычислительной технике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Для того, чтобы понять на сколько безопасны платежи с помощью электронных денег в Internet, нужно </w:t>
      </w:r>
      <w:r>
        <w:rPr>
          <w:rFonts w:ascii="Times New Roman" w:hAnsi="Times New Roman" w:cs="Times New Roman"/>
        </w:rPr>
        <w:t xml:space="preserve"> </w:t>
      </w:r>
      <w:r w:rsidRPr="005225BF">
        <w:rPr>
          <w:rFonts w:ascii="Times New Roman" w:hAnsi="Times New Roman" w:cs="Times New Roman"/>
        </w:rPr>
        <w:t>ответить на три вопроса:</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1. Может ли персональная и банковская информация быть перехвачена во время транзакции?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2. Может ли персональная и банковская информация быть получена из баз данных "продавцов", банков?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3. Может ли быть использована информация, в случае овладении ею?</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Проще всего, конечно, сразу ответить "нет, нет и нет". Однако чтобы прояснить реальное положение дел, заметим что:</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Против перехвата работают мощные алгоритмы шифрования информации, основанные на таких методах криптографии как шифрование с закрытым ключом и шифрование с отрытым ключом.</w:t>
      </w:r>
      <w:r>
        <w:rPr>
          <w:rFonts w:ascii="Times New Roman" w:hAnsi="Times New Roman" w:cs="Times New Roman"/>
        </w:rPr>
        <w:t xml:space="preserve"> </w:t>
      </w:r>
      <w:r w:rsidRPr="005225BF">
        <w:rPr>
          <w:rFonts w:ascii="Times New Roman" w:hAnsi="Times New Roman" w:cs="Times New Roman"/>
        </w:rPr>
        <w:t>Серьезность этих методов такова, что они приравнены в США к вооружению. Расшифровать послание в принципе возможно, но для этого понадобились бы компьютерные затраты в несколько миллионов долларов. Стоят ли эти затраты тех сумм, которыми покупатели оперируют в Internet?</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Большинство электронных платежных систем используют такие схемы, что банковская и персональная информация вообще не попадает к "продавцу". В некоторых системах эта информация вообще не "ходит" по Internet, а передается один раз факсом, по телефону, с помощью обычной почты.</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Большинство систем используют в своих схемах цифровую подпись (технология, основанная на шифровании с отрытым ключом), которую также маловероятно подделать, как и расшифровать послание. Для подтверждения оплаты также применяются всевозможные идентификаторы пользователя и пароли.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Таким образом, точный ответ на поставленные три вопроса "практически невозможно, крайне мало вероятно и крайне мало вероятно", хотя для некоторых систем все три ответа - "практически невозможно".</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Итак, расшифровать транзакции, выполненные в Internet с применением соответствующих алгоритмов криптографии, практически невозможно. Практически - означает, что, по крайней мере, пока криптоаналитик "пробьет брешь" в криптотексте, сам исходный текст потеряет всякую ценность. Особые меры безопасности принимаются ко всему связанному с передачей информации о деньгах и, в особенности, с передачей самих электронных денег.</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Большинство криптоалгоритмов построено на операциях с большими простыми числами и их произведениями, так что, пока не найдено алгоритмов факторизации (разложения этих чисел на их простые делители), реальной опасности с "математической" стороны нет.</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основе практически всех шифровальных систем лежат два криптографических алгоритма: DES (Data Encryption Standard), разработанный в IBM еще начале 70-х, и являющийся мировым стандартом для шифрования с закрытым ключом и RSA (названный по фамилиям авторов - Rivest, Shamur, Adleman), представленный в конце 70-х, ставший стандартом для шифрования с открытом ключом, особенно популярным в банковских технологиях.</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Американское правительство оба эти метода считает военной технологией и налагает серьезные ограничения на их экспорт. Так, например программы DES вообще запрещены к экспорту, а программы RSA разрешено экспортировать только, если ключ не больше чем 56 бит. Делается это затем, чтобы американское правительственное агентство NSA (National Security Agency) со всем своим многотысячным штатом математиков и программистов, со своими суперкомпьютерами были способны расшифровать сообщение, телефонный разговор, например. Пока они могут это сделать, только для алгоритмов RSA с ключом не сильно длиннее 60 бит.</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Запрет на экспорт, однако, чаще обходится (либо с помощью отдельных специальных лицензий американского правительства, либо без них) и реально используются алгоритмы RSA c длиной ключа до 1024 бит, при этом, Рон Ривест, один из разработчиков RSA, подсчитал, что для того, чтобы "пробить" криптотекст, зашифрованный с помощью ключа длиной 512 бит нужно потратить $8.2 миллиона.</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Ничто не говорит о том что такие алгоритмы вообще могут быть найдены. Скорее потенциальная угроза безопасности электронных систем может исходить от "человеческого фактора". Излишне, видимо, говорить о том, что компьютерные центры, занимающиеся ключевыми операциями: эмиссией электронных наличных, учетом и взаиморасчетами (клирингом) между участниками расчетов, должны охраняться примерно также как хранилища золотовалютных запасов и госбанки. А то, что даже в госбанке не все оказываются, мягко говоря, чисты на руку, известно у нас всем. Так что, в принципе конечно, нельзя исключить подкуп и шантаж персонала, в результате которого, преступники могли бы завладеть ключами, паролями, цифровыми подписями и получить контроль над компьютером. Это, правда, маловероятно, так как в системах с хорошим уровнем безопасности части наиболее важной информации распределены среди довольно большого количества работников и компьютеров, так что никто всего не знает, и нужна кооперация всех этих сотрудников для получения полного контроля над системой. Это резко снижает риск. И вообще, все-таки эта проблема не самого Internet, на который по инерции все еще продолжают "наезжать" журналисты и брюзжать банкиры, так как уже отмечалось, сам процесс передачи информации и самих денег сегодня вполне защищен.</w:t>
      </w:r>
    </w:p>
    <w:p w:rsidR="00C06989" w:rsidRPr="007B623D" w:rsidRDefault="00C06989" w:rsidP="00C06989">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 xml:space="preserve">Технологии безопасности в банке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Безопасная передача карт от Поставщика к банку эмитенту и их хранение;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Персонализация и эмиссия карт;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Процедуры генерации ключей;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Технологические карты;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Процедуры рассылки ключей;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Включение новых участников;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Выключение участников.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Защищенная связь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Обеспечивает криптографическую защиту информации. По каналам связи информация передается в зашифрованном в соответствии с ГОСТ 28147-89 виде;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Аутентификацию абонентов системы и разграничение доступа;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Контроль целостности и подлинности сообщений;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Защиту от навязывания ложных сообщений.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Терминал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Сеансы;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Хранение транзакций в терминале;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Черные списки;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Сертификация транзакций.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Карта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Формирование уникальных ключей на платежной карте;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Потери карт.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Технологическая безопасность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Дебетование карт;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Кредитование карт;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Восстановление дебета;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Сторнирование;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Восстановление сторнирования;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Кредитование в режиме On-Line;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Кредитование отложенное;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Восстановление кредита (отложенное);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Кредитование за наличные;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Восстановление кредитования за наличные;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Кредитование по ведомости;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Восстановление кредитования по ведомости;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Получение справки;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Смена PIN-кода;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Ключ базы данных;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Диверсификация ключей.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Мошенничества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Подделка карт;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Потери, подделки, хищение транзакций;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Сговор разработчиков с поставщиками карт и кассирами;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Мошенничество клиентов;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Мошенничество торговцев;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Мошенничество кассиров. </w:t>
      </w:r>
      <w:r w:rsidRPr="005225BF">
        <w:rPr>
          <w:rFonts w:ascii="Times New Roman" w:hAnsi="Times New Roman" w:cs="Times New Roman"/>
        </w:rPr>
        <w:footnoteReference w:customMarkFollows="1" w:id="8"/>
        <w:sym w:font="Symbol" w:char="F039"/>
      </w:r>
    </w:p>
    <w:p w:rsidR="00C06989" w:rsidRPr="007B623D" w:rsidRDefault="00C06989" w:rsidP="00C06989">
      <w:pPr>
        <w:spacing w:before="120"/>
        <w:jc w:val="center"/>
        <w:rPr>
          <w:rFonts w:ascii="Times New Roman" w:hAnsi="Times New Roman" w:cs="Times New Roman"/>
          <w:b/>
          <w:bCs/>
          <w:sz w:val="28"/>
          <w:szCs w:val="28"/>
        </w:rPr>
      </w:pPr>
      <w:bookmarkStart w:id="14" w:name="_Toc37522537"/>
      <w:bookmarkStart w:id="15" w:name="_Toc37603214"/>
      <w:r w:rsidRPr="007B623D">
        <w:rPr>
          <w:rFonts w:ascii="Times New Roman" w:hAnsi="Times New Roman" w:cs="Times New Roman"/>
          <w:b/>
          <w:bCs/>
          <w:sz w:val="28"/>
          <w:szCs w:val="28"/>
        </w:rPr>
        <w:t>4. Способы использования электронных денег.</w:t>
      </w:r>
      <w:bookmarkEnd w:id="14"/>
      <w:bookmarkEnd w:id="15"/>
    </w:p>
    <w:p w:rsidR="00C06989" w:rsidRPr="007B623D" w:rsidRDefault="00C06989" w:rsidP="00C06989">
      <w:pPr>
        <w:spacing w:before="120"/>
        <w:jc w:val="center"/>
        <w:rPr>
          <w:rFonts w:ascii="Times New Roman" w:hAnsi="Times New Roman" w:cs="Times New Roman"/>
          <w:b/>
          <w:bCs/>
          <w:sz w:val="28"/>
          <w:szCs w:val="28"/>
        </w:rPr>
      </w:pPr>
      <w:bookmarkStart w:id="16" w:name="_Toc37522538"/>
      <w:bookmarkStart w:id="17" w:name="_Toc37603215"/>
      <w:r w:rsidRPr="007B623D">
        <w:rPr>
          <w:rFonts w:ascii="Times New Roman" w:hAnsi="Times New Roman" w:cs="Times New Roman"/>
          <w:b/>
          <w:bCs/>
          <w:sz w:val="28"/>
          <w:szCs w:val="28"/>
        </w:rPr>
        <w:t>4.1. Пластиковые карты и их виды.</w:t>
      </w:r>
      <w:bookmarkEnd w:id="16"/>
      <w:bookmarkEnd w:id="17"/>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Сама идея использования карт как платежного средства была выдвинута Джеймсом Беллами в его книге «Глядя назад» в 1880 г., практически же первая карта была выпущена в США в 1914 г. фирмой General Petroleum Corporation of California (сейчас это компания Mobil Oil). Данная карта использовалась при оплате нефтепродуктов. Первые карты еще не были платежным средством, это скорее были клубные карточки, имеющие ограниченное применение. Первые кредитные карточки были сделаны из картона, а материал более подходящий для функционирования карт, появился в 60-е годы нашего столетия в США, их стали делать из пластика.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Пластиковая карточка- это обобщающий термин, который обозначает все виды карточек, различающихся по назначению, по набору оказываемых с их помощью услуг, по своим техническим возможностям и организациям.</w:t>
      </w:r>
      <w:r w:rsidRPr="005225BF">
        <w:rPr>
          <w:rFonts w:ascii="Times New Roman" w:hAnsi="Times New Roman" w:cs="Times New Roman"/>
        </w:rPr>
        <w:footnoteReference w:customMarkFollows="1" w:id="9"/>
        <w:t>10</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Пластиковая карточка представляет собой пластину стандартных размеров (85.6 мм 53.9 мм 0.76 мм), изготовленную из специальной, устойчивой к механическим и термическим воздействиям, пластмассы. Одна из основных функций пластиковой карточки - обеспечение идентификации использующего ее лица как субъекта платежной системы. Для этого на пластиковую карточку наносятся логотипы банка-эмитента и платежной системы, обслуживающей карточку, имя держателя карточки, номер его счета, срок действия карточки и пр. Кроме этого, на карточке может присутствовать фотография держателя и его подпись. Алфавитно-цифровые данные - имя, номер счета и др. - могут быть эмбоссированы, т.е. нанесены рельефным шрифтом. Это дает возможность при ручной обработке принимаемых к оплате карточек быстро перенести данные на чек с помощью специального устройства, импринтера, осуществляющего "прокатывание" карточки (в точности так же, как получается второй экземпляр при использовании копировальной бумаги).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Графические данные обеспечивают возможность визуальной идентификации карточки. Карточки, обслуживание которых основано на таком принципе, могут с успехом использоваться в малых локальных системах - как клубные, магазинные карточки и т.п. Однако для использования в банковской платежной системе визуальной "обработки" оказывается явно недостаточно. Представляется целесообразным хранить данные на карточке в виде, обеспечивающем проведение процедуры автоматической авторизации. Эта задача может быть решена с использованием различных физических механизмов.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 карточках со штрих-кодом в качестве идентифицирующего элемента используется штриховой код, аналогичный коду, применяемому для маркировки товаров. Обычно кодовая полоска покрыта непрозрачным составом, и считывание кода происходит в инфракрасных лучах. Карточки со штрих-кодом весьма дешевы и, по сравнению с другими типами карт, относительно просты в изготовлении. Последняя особенность обуславливает их слабую защищенность от подделки и делает поэтому малопригодными для использования в платежных системах.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Карточки с магнитной полосой являются на сегодняшний день наиболее распространенными - в обращении находится свыше двух миллиардов карт подобного типа. Магнитная полоса располагается на обратной стороне карты и, согласно стандарту ISO 7811, состоит из трех дорожек. Из них первые две предназначены для хранения идентификационных данных, а на третью можно записывать информацию (например, текущее значение лимита дебетовой карточки). Однако из-за невысокой надежности многократно повторяемого процесса записи/считывания, запись на магнитную полосу, как правило, не практикуется, и такие карты используются только в режиме считывания информации. Защищенность карт с магнитной полосой существенно выше, чем у карт со штрих-кодом. Однако и такой тип карт относительно уязвим для мошенничества. Так, в США в 1992 г. общий ущерб от махинаций с кредитными картами с магнитной полосой (без учета потерь с банкометами) превысил один миллиард долларов. Тем не менее, развитая инфраструктура существующих платежных систем и, в первую очередь, мировых лидеров "карточного" бизнеса - компаний VISA и MasterCard/Europay является причиной интенсивного использования карточек с магнитной полосой и сегодня. Отметим, что для повышения защищенности карточек системы VISA и MasterCard/Europay используются дополнительные графические средства защиты: голограммы и нестандартные шрифты для эмбоссирования.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На лицевой стороне карточки с магнитной полосой обычно указывается: логотип банка-эмитента, логотип платежной системы, номер карточки (первые 6 цифр - код банка, следующие 9 - банковский номер карточки, последняя цифра - контрольная, последние четыре цифры нанесены на голограмму), срок действия карточки, имя держателя карточки; на оборотной стороне - магнитная полоса, место для подписи.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 смарт-картах носителем информации является уже микросхема. У простейших из существующих смарт-карт - карт памяти - объем памяти может иметь величину от 32 байт до 16 килобайт. Эта память может быть реализована или в виде ППЗУ (ЕРRОМ), которое допускает однократную запись и многократное считывание, или в виде ЭСППЗУ (EEPROM), допускающее и многократное считывание, и многократную запись. Карты памяти подразделяются на два типа: с незащищенной (полнодоступной) и защищенной памятью. В картах первого типа нет никаких ограничений на чтение и запись данных. Доступность всей памяти делает их удобными для моделирования произвольных структур данных, что представляется важным в некоторых приложениях. Карты с защищенной памятью имеют область идентификационных данных и одну или несколько прикладных областей. Идентификационная область карт допускает лишь однократную запись при персонализации, и в дальнейшем доступна только на считывание. Доступ к прикладным областям регламентируется и осуществляется по предъявлению соответствующего ключа. Уровень защиты карт памяти выше, чем у магнитных карт, и они могут быть использованы в прикладных системах, в которых финансовые риски, связанные с мошенничеством, относительно невелики. Что же касается стоимости карт памяти, то они дороже, чем магнитные карты. Однако в последнее время цены на них значительно снизились в связи с усовершенствованием технологии и ростом объемов производства. Стоимость карты памяти непосредственно зависит от стоимости микросхемы, определяемой, в свою очередь, емкостью памяти.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Частным случаем карт памяти являются карты-счетчики, в которых значение, хранимое в памяти, может изменяться лишь на фиксированную величину. Подобные карты используются в специализированных приложениях с предоплатой (плата за использование телефона-автомата, оплата автостоянки и т.д.)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Карты с микропроцессором представляют собой, по сути, микрокомпьютеры и содержат все соответствующие основные аппаратные компоненты: центральный процессор, ОЗУ, ПЗУ, ППЗУ, ЭСППЗУ. Параметры наиболее мощных современных микропроцессорных карт сопоставимы с характеристиками персональных компьютеров начала восьмидесятых. Операционная система, хранящаяся в ПЗУ микропроцессорной карты, принципиально ничем не отличается от операционной системы ПК и предоставляет большой набор сервисных операций и средств безопасности. Операционная система поддерживает файловую систему, базирующуюся в ЭСППЗУ (емкость которого обычно находится в диапазоне 1 - 8 Кбайта, но может достигать и 64 Кбайт) и обеспечивающую регламентацию доступа к данным. При этом часть данных может быть доступна только внутренним программам карточки, что вместе со встроенными криптографическими средствами делает микропроцессорную карту высокозащищенным инструментом, который может быть использован в финансовых приложениях, предъявляющих повышенные требования к защите информации. Именно поэтому микропроцессорные карты (и смарт-карты вообще) рассматриваются в настоящее время как наиболее перспективный вид пластиковых карт. Кроме того, смарт-карты являются наиболее перспективным типом пластиковых карт также и с точки зрения функциональных возможностей. Вычислительные возможности смарт-карт позволяют использовать, например, одну и ту же карту и в операциях с on-line авторизацией и как многовалютный электронный кошелек. Их широкое использование в системах VISA и Europay/MasterCard начнется уже в ближайшие год-два, а в течение десятилетия смарт-карты должны полностью вытеснить карты с магнитной полосой (по крайней мере, таковы планы...).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Кроме описанных выше типов пластиковых карточек, используемых в финансовых приложениях, существует еще ряд карточек, основанных на иных механизмах хранения данных. Такие карточки (оптические, индукционные и пр.) используются в медицинских системах, системах безопасности и др.</w:t>
      </w:r>
      <w:r w:rsidRPr="005225BF">
        <w:rPr>
          <w:rFonts w:ascii="Times New Roman" w:hAnsi="Times New Roman" w:cs="Times New Roman"/>
        </w:rPr>
        <w:footnoteReference w:customMarkFollows="1" w:id="10"/>
        <w:t>11</w:t>
      </w:r>
      <w:bookmarkStart w:id="18" w:name="_Toc37522539"/>
    </w:p>
    <w:p w:rsidR="00C06989" w:rsidRPr="007B623D" w:rsidRDefault="00C06989" w:rsidP="00C06989">
      <w:pPr>
        <w:spacing w:before="120"/>
        <w:jc w:val="center"/>
        <w:rPr>
          <w:rFonts w:ascii="Times New Roman" w:hAnsi="Times New Roman" w:cs="Times New Roman"/>
          <w:b/>
          <w:bCs/>
          <w:sz w:val="28"/>
          <w:szCs w:val="28"/>
        </w:rPr>
      </w:pPr>
      <w:bookmarkStart w:id="19" w:name="_Toc37603216"/>
      <w:r w:rsidRPr="007B623D">
        <w:rPr>
          <w:rFonts w:ascii="Times New Roman" w:hAnsi="Times New Roman" w:cs="Times New Roman"/>
          <w:b/>
          <w:bCs/>
          <w:sz w:val="28"/>
          <w:szCs w:val="28"/>
        </w:rPr>
        <w:t>5. Золото в системе цифровых денег.</w:t>
      </w:r>
      <w:bookmarkEnd w:id="18"/>
      <w:bookmarkEnd w:id="19"/>
    </w:p>
    <w:p w:rsidR="00C06989" w:rsidRPr="007B623D" w:rsidRDefault="00C06989" w:rsidP="00C06989">
      <w:pPr>
        <w:spacing w:before="120"/>
        <w:jc w:val="center"/>
        <w:rPr>
          <w:rFonts w:ascii="Times New Roman" w:hAnsi="Times New Roman" w:cs="Times New Roman"/>
          <w:b/>
          <w:bCs/>
          <w:sz w:val="28"/>
          <w:szCs w:val="28"/>
        </w:rPr>
      </w:pPr>
      <w:bookmarkStart w:id="20" w:name="_Toc37522540"/>
      <w:bookmarkStart w:id="21" w:name="_Toc37603217"/>
      <w:r w:rsidRPr="007B623D">
        <w:rPr>
          <w:rFonts w:ascii="Times New Roman" w:hAnsi="Times New Roman" w:cs="Times New Roman"/>
          <w:b/>
          <w:bCs/>
          <w:sz w:val="28"/>
          <w:szCs w:val="28"/>
        </w:rPr>
        <w:t>5.1. Золото и специфика его реализации в цифровой форме.</w:t>
      </w:r>
      <w:bookmarkEnd w:id="20"/>
      <w:bookmarkEnd w:id="21"/>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Не вдаваясь в особенности правовой и технической реализации систем счетных денег, рассмотрим специфику золота, способного выступать в качестве монетарной системы цифровой финансовой индустрии.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Существует несколько отправных точек, которыми руководствуются в процессе создания систем счетных денег. Для их нормального функционирования необходимо, чтобы платежно-расчетное средство было эффективным, надежно защищенным, простым в использовании и общепринятым в правовом смысле. Клиенты должны быть уверены в том, что их денежным средствам ничто не угрожает внутри системы. В целях обслуживания многих пользователей система должна быть спроектирована с учетом потенциального роста числа клиентов и платежных поручений. Обязательна возможность осуществления анонимных трансакций с той же легкостью, как и при использовании наличных денег.</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 учетом имеющихся возможностей систем счетных</w:t>
      </w:r>
      <w:r>
        <w:rPr>
          <w:rFonts w:ascii="Times New Roman" w:hAnsi="Times New Roman" w:cs="Times New Roman"/>
        </w:rPr>
        <w:t xml:space="preserve"> </w:t>
      </w:r>
      <w:r w:rsidRPr="005225BF">
        <w:rPr>
          <w:rFonts w:ascii="Times New Roman" w:hAnsi="Times New Roman" w:cs="Times New Roman"/>
        </w:rPr>
        <w:t>денег можно предположить, что спор о том, какова надлежащая монетарная роль золота, может быть разрешен именно в век электроники, поскольку уже начались успешные эксперименты по созданию систем цифровых золотых денег (систем цифрового золота).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Исторически золотой стандарт предписывал, чтобы эмитент имел 100%-й золотой запас. Этот стандарт позволял правительствам экономить на золоте, предусматривая, чтобы центральные банки держали некоторую часть своих запасов в валюте тех стран, где она в большей степени привязана к золото, а система резервов</w:t>
      </w:r>
      <w:r>
        <w:rPr>
          <w:rFonts w:ascii="Times New Roman" w:hAnsi="Times New Roman" w:cs="Times New Roman"/>
        </w:rPr>
        <w:t xml:space="preserve"> </w:t>
      </w:r>
      <w:r w:rsidRPr="005225BF">
        <w:rPr>
          <w:rFonts w:ascii="Times New Roman" w:hAnsi="Times New Roman" w:cs="Times New Roman"/>
        </w:rPr>
        <w:t>позволяла частично размещать резервы в золото. Но исторический опыт оставляет открытым вопрос о том, какой вариант систем частного цифрового золота будет предпочтительнее. Ответ на него зависит от возможностей золотодобывающей и финансовой отраслей создать деноминированные в золоте рынки инструментов, которые могут быть использованы эмитентами цифровых золотых валют и других финансовых инструментов для зачета и хеджирования обязательств, обеспеченных золотом.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Золото является лишь одной из форм цифровых денег будущего. Получит ли оно широкое обращение в этой форме или же займет маленькую экзотическую нишу валютного рынка, зависит от ряда факторов, большая часть которых находится под контролем создателей этих систем.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Золото обладает двумя главными преимуществами перед иными активами.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во-первых, многие инвесторы инстинктивно доверяют ему. Оно осязаемо, свободно от государственного контроля. Понятие о том, что золото обладает ценностью, уходит корнями в историю человечества, отражено в литературе и фольклоре народов мира. Поэтому цифровые деньги с золотым обеспечением могут получить преимущества перед другими валютами по причине традиционного доверия к золоту со стороны частных инвесторов.</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вторым важным преимуществом золота в роли цифровых денег является значительный тезаврационный спрос на него для немонетарных целей. Частные владельцы золотых активов составляют обширный целевой рынок, который должен иметь приоритет при любых попытках реализации систем цифрового золота или других финансовых инструментов, обеспеченных золотом. Можно предположить, что при ликвидности балансовых счетов доверительного хранения золота будет расти также привлекательность услуг, предоставляемых банками и прочими финансовыми институтами, обслуживающими этот рынок.</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Отмеченные факторы и существовавший ранее спрос на золото дают ему важное преимущество перед конкурирующими активами, за исключением, естественно, национальных валют.</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Объем золота, хранимого частными инвесторами, точно не известен, но значителен, а средняя величина спроса на него находится в пределах</w:t>
      </w:r>
      <w:r>
        <w:rPr>
          <w:rFonts w:ascii="Times New Roman" w:hAnsi="Times New Roman" w:cs="Times New Roman"/>
        </w:rPr>
        <w:t xml:space="preserve"> </w:t>
      </w:r>
      <w:r w:rsidRPr="005225BF">
        <w:rPr>
          <w:rFonts w:ascii="Times New Roman" w:hAnsi="Times New Roman" w:cs="Times New Roman"/>
        </w:rPr>
        <w:t>400 т. в год. Примерно 33000 т золота хранится в официальных резервах. Известно также, что большой объем золота держат частные инвесторы, не имеющие доступа в Интернет, но которые вряд ли в обозримом будущем будут конвертировать золотые запасы в цифровые деньги. Тем не менее, определенная часть накопленного золота представляет собой естественную основу для систем цифровых золотых денег.</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 мере использования золота в цифровой форме инвестиции в него будут расти, спрос на него будет увеличиваться, поскольку такая валюта (во всяком случае, на первом этапе) будет иметь 100%-ое покрытие физическим металлом или номинированными и обеспеченными золотом финансовыми инструментами.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Золото, вступая в конкуренцию с традиционными электронными деньгами с рядом сильных преимуществ, прежде чем стать повсеместно используемым, должно преодолеть некоторые специфические барьеры.</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настоящее время только немногие виды предпринимательской деятельности, связанные с интерактивным или мировым бизнесом, функционируют на основе обмена золота на товары и услуги. Хотя инвестиции в золото являются как бы предпосылкой для появления держателей цифровых золотых счетов, они не предоставляют стимула для участия в системе цифровых денег, которая ограничивает возможности использования их активов. Поэтому высшим приоритетом для создателей систем цифрового золота должно стать развитие маркетинга в сфере интерактивной торговли с целью достижения критической массы этих весьма специфических денег.</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Необходимо достичь повсеместного доверия к финансовой чичтоте систем цифрового золота.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Цифровое золото без полного обеспечения золотом вряд ли привлечет клиентов и сохранит их доверие, за исключением частных случаев, когда оно обеспечивает гарантиями официальных финансовых учреждений, обладающих бесспорными полномочиями, а также гарантиями в виде золотых обязательств, являющихся частью их общего баланса. Во всех других случаях «центральный банк» цифровых денег должен приводить в соответствие свои обязательства, состоящие из выпущенной золотой валюты, с золотыми активами, ее обеспечивающими.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Цифровое золото без полного золотого обеспечения становится валютой «массового возврата» и поэтому обрекается на неудачу.</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Трансакционные издержки систем цифрового золота должны быть конкурентоспособными по сравнению с существующими платежными системами (кредитными карточками, банковскими переводами) и конкурирующими электронными валютами. Цифровое золото попадает в невыгодное положение в связи с тем, что активы в форме физического золота могут не давать прибыль, поскольку не приносят процентных доходов и , кроме того, влекут за собой издержки хранения. Поэтому трансакционные сборы, предназначаемый для финансирования функционирования системы цифрового золота, должны производиться в форме комиссии, взимаемой за перевод золота, или в виде специально устанавливаемых пошлин.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Для покрытия издержек система цифрового золота должна инвестировать в достаточно доходные золотые активы, периодически изымать из обращения цифровые деньги или снижать их ликвидность путем сокращения объемов золотых активов относительно объемов золотых обязательств. Сегодня в мире фактически отсутствуют долговые обязательства, обеспеченные и номинированные золотом, в которые можно было бы инвестировать с целью дополнительного финансирования этих систем.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Именно дефицит финансовых инструментов, деноминированных в золоте и обеспечивающих доход, является единственным препятствием в развитии конкурентоспособных цифровых</w:t>
      </w:r>
      <w:r>
        <w:rPr>
          <w:rFonts w:ascii="Times New Roman" w:hAnsi="Times New Roman" w:cs="Times New Roman"/>
        </w:rPr>
        <w:t xml:space="preserve"> </w:t>
      </w:r>
      <w:r w:rsidRPr="005225BF">
        <w:rPr>
          <w:rFonts w:ascii="Times New Roman" w:hAnsi="Times New Roman" w:cs="Times New Roman"/>
        </w:rPr>
        <w:t>золотых денег. Лизинг золота банками (обычно по 2% годовых) представляет собой лишь частичное решение проблемы, но этот рынок хорошо обслуживается лизинговыми программами центральных банков. Необходимо внедрять «золотые» финансовые инструменты более широкого диапазона, такие как векселя и облигации, размещаемые на ликвидных рынках. Появление цифрового золота, представляющего собой новые надежные активы, будет стимулировать потенциальных эмитентов к выпуску «золотых» финансовых инструментов, что станет важным этапом в решении этой проблемы.</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Потенциальными заемщиками золота являются добывающие компании, центральные банки и коммерческие банки, специализирующиеся на золотых кредитах. Некоторые из них не могут предоставлять кредит безупречного качества, который требуется «центральному банку» цифрового золота для обеспечения его резервов. В отличие от них, финансовые инструменты, выпущенные сильными коммерческими банками для финансирования «золотых» кредитов, будут достаточно надежными для того, чтобы функционировать в качестве обеспечения цифровых золотых денег.</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Если золотые финансовые инструменты станут более распространенными, то финансовые институты смогут создать рынок секьюритизированных</w:t>
      </w:r>
      <w:r>
        <w:rPr>
          <w:rFonts w:ascii="Times New Roman" w:hAnsi="Times New Roman" w:cs="Times New Roman"/>
        </w:rPr>
        <w:t xml:space="preserve"> </w:t>
      </w:r>
      <w:r w:rsidRPr="005225BF">
        <w:rPr>
          <w:rFonts w:ascii="Times New Roman" w:hAnsi="Times New Roman" w:cs="Times New Roman"/>
        </w:rPr>
        <w:t>пакетов некогда неликвидных золотых займов. Секьюритизация освободит балансы институциональных кредиторов, позволит увеличить объем золотых займов,</w:t>
      </w:r>
      <w:r>
        <w:rPr>
          <w:rFonts w:ascii="Times New Roman" w:hAnsi="Times New Roman" w:cs="Times New Roman"/>
        </w:rPr>
        <w:t xml:space="preserve"> </w:t>
      </w:r>
      <w:r w:rsidRPr="005225BF">
        <w:rPr>
          <w:rFonts w:ascii="Times New Roman" w:hAnsi="Times New Roman" w:cs="Times New Roman"/>
        </w:rPr>
        <w:t>а некоторые пакеты секьюритизированных золотых активов высокого качества могут оказаться пригодными для того, чтобы быть включенными в разряд резервов, обеспечивающих цифровое золото.</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Системы</w:t>
      </w:r>
      <w:r>
        <w:rPr>
          <w:rFonts w:ascii="Times New Roman" w:hAnsi="Times New Roman" w:cs="Times New Roman"/>
        </w:rPr>
        <w:t xml:space="preserve"> </w:t>
      </w:r>
      <w:r w:rsidRPr="005225BF">
        <w:rPr>
          <w:rFonts w:ascii="Times New Roman" w:hAnsi="Times New Roman" w:cs="Times New Roman"/>
        </w:rPr>
        <w:t>цифрового золота салкиваются с традиционными проблемами в другом аспекте. Во-первых, большинство он-лайновых сделок деноминируются в национальных валютах, в частности, в долларах США, и в обозримом будущем это будет продолжаться. Системы цифрового золота для установления объема золота, необходимого для осуществления платежа в момент проведения сделки, должны предлагать конверсионные ставки в режиме реального времени. И здесь цифровое золото может получить известность как средство денежного обмена без широкого использования его в качестве расчетной единицы.</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Во-вторых прогнозируется, что системы цифрового золота в гораздо большей степени будут использоваться в сделках с иностранной валютой, отличной от долларов США. То есть электронное золото будут покупать и продавать, по крайней мере, первоначально, в большей части в обмен на национальную валюту. В этом отношении золото по-прежнему останется экзотической валютой, т.е. те, кто держат свои счета в других валютах будут обращаться за покупкой или продажей экзотической валюты в случае необходимости осуществления немедленной сделки. По мере совершенствования систем цифровых золотых денег, соотношение валютных трансакций к чисто золотым, согласно прогнозам, может сокращаться. Поэтому для систем цифрового золота важно обеспечить быструю и недорогую услугу по валютным операциям, в частности, в режиме он-лайн.</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Высокие трансакционные сборы в настоящее время делают неэкономичными онлайновые покупки цифрового золота с использованием кредитной карточки. Однако рост объемов банковски операций в Интернете будет способствовать широкому распространению и увеличению числа покупок цифрового золота посредством валютных трансфертов.</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Золото</w:t>
      </w:r>
      <w:r>
        <w:rPr>
          <w:rFonts w:ascii="Times New Roman" w:hAnsi="Times New Roman" w:cs="Times New Roman"/>
        </w:rPr>
        <w:t xml:space="preserve"> </w:t>
      </w:r>
      <w:r w:rsidRPr="005225BF">
        <w:rPr>
          <w:rFonts w:ascii="Times New Roman" w:hAnsi="Times New Roman" w:cs="Times New Roman"/>
        </w:rPr>
        <w:t>во всем мире, аналогично доллару США, является средством сбережения. Именно это обстоятельство делает золото кандидатом на роль средства международного цифрового обмена деньгами, особенно для относительно небольших онлайновых сделок. Поэтому прогнозируется, что все боьлшее число рыночных долговых обязательств будет деноминироваться или обеспечиваться в золоте, а «центральные банки» цифрового золота будут предпочитать производить платежи золотом.</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 расширением международного использования цифрового золота будет возрастать вероятность появления конкуренции среди эмитентов цифровых денег, в том числе и на внутренних рынках таких крупных стран, как США. А появление множества эмитентов приведет к необходимости создания единой (централизованной) расчетной палаты для осуществления платежей между различными «центральными банками» цифрового золота.</w:t>
      </w:r>
    </w:p>
    <w:p w:rsidR="00C06989" w:rsidRPr="007B623D" w:rsidRDefault="00C06989" w:rsidP="00C06989">
      <w:pPr>
        <w:spacing w:before="120"/>
        <w:jc w:val="center"/>
        <w:rPr>
          <w:rFonts w:ascii="Times New Roman" w:hAnsi="Times New Roman" w:cs="Times New Roman"/>
          <w:b/>
          <w:bCs/>
          <w:sz w:val="28"/>
          <w:szCs w:val="28"/>
        </w:rPr>
      </w:pPr>
      <w:bookmarkStart w:id="22" w:name="_Toc37522541"/>
      <w:bookmarkStart w:id="23" w:name="_Toc37603218"/>
      <w:r w:rsidRPr="007B623D">
        <w:rPr>
          <w:rFonts w:ascii="Times New Roman" w:hAnsi="Times New Roman" w:cs="Times New Roman"/>
          <w:b/>
          <w:bCs/>
          <w:sz w:val="28"/>
          <w:szCs w:val="28"/>
        </w:rPr>
        <w:t>5.2. Краткая характеристика систем цифрового золота.</w:t>
      </w:r>
      <w:bookmarkEnd w:id="22"/>
      <w:bookmarkEnd w:id="23"/>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настоящее время известно о функционировании 3-х систем цифрового золота, заметно отличающихся по набору функций: e-gold, DigiGold и GoldMoney. Дадим краткие характеристики этих систем.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Система e-gold</w:t>
      </w:r>
      <w:r>
        <w:rPr>
          <w:rFonts w:ascii="Times New Roman" w:hAnsi="Times New Roman" w:cs="Times New Roman"/>
        </w:rPr>
        <w:t xml:space="preserve"> </w:t>
      </w:r>
      <w:r w:rsidRPr="005225BF">
        <w:rPr>
          <w:rFonts w:ascii="Times New Roman" w:hAnsi="Times New Roman" w:cs="Times New Roman"/>
        </w:rPr>
        <w:t>(продукт компании e-gold Ltd Nevis Corporation) предлагает клиентам семейство цифровых денег, имеющих 100%-е обеспечение драгоценными металлами: золотом, серебром, платиной и палладием (пользователи держат счета в том или ином металле по своему выбору). Количественно каждая цифровая расчетная единица e-gold номинируется фиксированным весом драгоценного металла. В совокупности система e-gold представляет собой онлайновую систему, клиенты которой могут</w:t>
      </w:r>
      <w:r>
        <w:rPr>
          <w:rFonts w:ascii="Times New Roman" w:hAnsi="Times New Roman" w:cs="Times New Roman"/>
        </w:rPr>
        <w:t xml:space="preserve"> </w:t>
      </w:r>
      <w:r w:rsidRPr="005225BF">
        <w:rPr>
          <w:rFonts w:ascii="Times New Roman" w:hAnsi="Times New Roman" w:cs="Times New Roman"/>
        </w:rPr>
        <w:t>производить расчеты друг с другом дробным количеством металла (платеж может быть произведен не менее чем за 0,00001 тройской унции с точностью расчета до 0,000001 тройской унции).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Основным дистрибьютором услуг системы e-gold явяляется делаверская компания Gold&amp;Silver Reserve</w:t>
      </w:r>
      <w:r>
        <w:rPr>
          <w:rFonts w:ascii="Times New Roman" w:hAnsi="Times New Roman" w:cs="Times New Roman"/>
        </w:rPr>
        <w:t xml:space="preserve"> </w:t>
      </w:r>
      <w:r w:rsidRPr="005225BF">
        <w:rPr>
          <w:rFonts w:ascii="Times New Roman" w:hAnsi="Times New Roman" w:cs="Times New Roman"/>
        </w:rPr>
        <w:t>со штаб-квартирой во Флориде, которая первоначально разработала, а затем осуществляла руководство функционированием системы e-gold. G&amp;SR формирует валютный рынок, предоставляя возможность клиентам приобрести денежную единицу e-gold за доллары США и Канады, немецкие марки, японские иены, фунты стерлингов Великобритании, французские франки, швейцарские франки, доллары Австралии и другие валюты. G&amp;SR</w:t>
      </w:r>
      <w:r>
        <w:rPr>
          <w:rFonts w:ascii="Times New Roman" w:hAnsi="Times New Roman" w:cs="Times New Roman"/>
        </w:rPr>
        <w:t xml:space="preserve"> </w:t>
      </w:r>
      <w:r w:rsidRPr="005225BF">
        <w:rPr>
          <w:rFonts w:ascii="Times New Roman" w:hAnsi="Times New Roman" w:cs="Times New Roman"/>
        </w:rPr>
        <w:t xml:space="preserve">принимает национальные валюты только по телеграфным переводам и устанавливает минимальный размер сделки для валют.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настоящее время G&amp;SR производит в Северной Америке корректировку курсов продажи и покупки для различных цифровых металлов каждые два часа в течение всего рабочего дня и 2-3 раза в течение ночи.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Для того, чтобы пользоваться системой e-gold, пользователь должен отправиться на Web- сайт и открыть счет.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G&amp;SR и ряд других независимых компаний предоставляют также на конкурентной основе возможность обмена e-gold на национальные валюты.</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e-gold, по сути не являются цифровой наличностью, поскольку не являются предъявительским инструментом. Система платежей</w:t>
      </w:r>
      <w:r>
        <w:rPr>
          <w:rFonts w:ascii="Times New Roman" w:hAnsi="Times New Roman" w:cs="Times New Roman"/>
        </w:rPr>
        <w:t xml:space="preserve"> </w:t>
      </w:r>
      <w:r w:rsidRPr="005225BF">
        <w:rPr>
          <w:rFonts w:ascii="Times New Roman" w:hAnsi="Times New Roman" w:cs="Times New Roman"/>
        </w:rPr>
        <w:t xml:space="preserve">посредством e-gold выступает в качестве клирингового механизма сделок, основанных на счетах, по которым документ, удостоверяющий право собственности на физическое золото, переводится с одного счета на другой.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Существует минимальный трансакционный сбор за осуществление платежей в системе e-gold. Если платеж составляет 50,00 долларов или менее, трансакционный сбор составляет 1%, удерживаемый в е-металле с получателя. За платежи, превышающие 50,00 долл., взимается фиксированная сумма 0,50 долл. Взимается также ежегодная плата за хранение в размере 1% ежемесячными взносами на основе среднего дневного остатка не счете за предшествующий месяц.</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Компания DigiGold Ltd.</w:t>
      </w:r>
      <w:r>
        <w:rPr>
          <w:rFonts w:ascii="Times New Roman" w:hAnsi="Times New Roman" w:cs="Times New Roman"/>
        </w:rPr>
        <w:t xml:space="preserve"> </w:t>
      </w:r>
      <w:r w:rsidRPr="005225BF">
        <w:rPr>
          <w:rFonts w:ascii="Times New Roman" w:hAnsi="Times New Roman" w:cs="Times New Roman"/>
        </w:rPr>
        <w:t>осуществляет выпуск деноминированных в золоте цифровых денег, имеющих функцию финансового инструмента, DigiGold,</w:t>
      </w:r>
      <w:r>
        <w:rPr>
          <w:rFonts w:ascii="Times New Roman" w:hAnsi="Times New Roman" w:cs="Times New Roman"/>
        </w:rPr>
        <w:t xml:space="preserve"> </w:t>
      </w:r>
      <w:r w:rsidRPr="005225BF">
        <w:rPr>
          <w:rFonts w:ascii="Times New Roman" w:hAnsi="Times New Roman" w:cs="Times New Roman"/>
        </w:rPr>
        <w:t>основанных на программе «бумажник». Она предназначена для клиентов и выполняет криптографическую функцию, включая защищенную, аутентифицированную связь с сервером субъекта приема. DigiGold</w:t>
      </w:r>
      <w:r>
        <w:rPr>
          <w:rFonts w:ascii="Times New Roman" w:hAnsi="Times New Roman" w:cs="Times New Roman"/>
        </w:rPr>
        <w:t xml:space="preserve"> </w:t>
      </w:r>
      <w:r w:rsidRPr="005225BF">
        <w:rPr>
          <w:rFonts w:ascii="Times New Roman" w:hAnsi="Times New Roman" w:cs="Times New Roman"/>
        </w:rPr>
        <w:t>обеспечивает платежи по схеме «пользователь-пользователь» непосредственно или в предъявительской форме, но не предоставляет автоматических интерфейсов для розничных платежей. Планируемыми сферами использования DigiGold</w:t>
      </w:r>
      <w:r>
        <w:rPr>
          <w:rFonts w:ascii="Times New Roman" w:hAnsi="Times New Roman" w:cs="Times New Roman"/>
        </w:rPr>
        <w:t xml:space="preserve"> </w:t>
      </w:r>
      <w:r w:rsidRPr="005225BF">
        <w:rPr>
          <w:rFonts w:ascii="Times New Roman" w:hAnsi="Times New Roman" w:cs="Times New Roman"/>
        </w:rPr>
        <w:t>являются резервные фонды, платежные системы финансовых учреждений, а также система расчетов по ценным бумагам, торги в которой осуществляются на сервере Systemics Market Server (специализированный рынок, позволяющий осуществлять незамедлительный- электронный предъявительский- расчет между клиентами). В настоящее время DigiGold</w:t>
      </w:r>
      <w:r>
        <w:rPr>
          <w:rFonts w:ascii="Times New Roman" w:hAnsi="Times New Roman" w:cs="Times New Roman"/>
        </w:rPr>
        <w:t xml:space="preserve"> </w:t>
      </w:r>
      <w:r w:rsidRPr="005225BF">
        <w:rPr>
          <w:rFonts w:ascii="Times New Roman" w:hAnsi="Times New Roman" w:cs="Times New Roman"/>
        </w:rPr>
        <w:t>можно приобрести путем обмена e-gold на DigiGold или путем обмена других инструментов, которые</w:t>
      </w:r>
      <w:r>
        <w:rPr>
          <w:rFonts w:ascii="Times New Roman" w:hAnsi="Times New Roman" w:cs="Times New Roman"/>
        </w:rPr>
        <w:t xml:space="preserve"> </w:t>
      </w:r>
      <w:r w:rsidRPr="005225BF">
        <w:rPr>
          <w:rFonts w:ascii="Times New Roman" w:hAnsi="Times New Roman" w:cs="Times New Roman"/>
        </w:rPr>
        <w:t>участуют в торгах на сервере</w:t>
      </w:r>
      <w:r>
        <w:rPr>
          <w:rFonts w:ascii="Times New Roman" w:hAnsi="Times New Roman" w:cs="Times New Roman"/>
        </w:rPr>
        <w:t xml:space="preserve"> </w:t>
      </w:r>
      <w:r w:rsidRPr="005225BF">
        <w:rPr>
          <w:rFonts w:ascii="Times New Roman" w:hAnsi="Times New Roman" w:cs="Times New Roman"/>
        </w:rPr>
        <w:t xml:space="preserve">Systemics Market Server.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отличие от</w:t>
      </w:r>
      <w:r>
        <w:rPr>
          <w:rFonts w:ascii="Times New Roman" w:hAnsi="Times New Roman" w:cs="Times New Roman"/>
        </w:rPr>
        <w:t xml:space="preserve"> </w:t>
      </w:r>
      <w:r w:rsidRPr="005225BF">
        <w:rPr>
          <w:rFonts w:ascii="Times New Roman" w:hAnsi="Times New Roman" w:cs="Times New Roman"/>
        </w:rPr>
        <w:t>e-gold, DigiGold</w:t>
      </w:r>
      <w:r>
        <w:rPr>
          <w:rFonts w:ascii="Times New Roman" w:hAnsi="Times New Roman" w:cs="Times New Roman"/>
        </w:rPr>
        <w:t xml:space="preserve"> </w:t>
      </w:r>
      <w:r w:rsidRPr="005225BF">
        <w:rPr>
          <w:rFonts w:ascii="Times New Roman" w:hAnsi="Times New Roman" w:cs="Times New Roman"/>
        </w:rPr>
        <w:t xml:space="preserve">является фунициарным (основанным на общественном доверии) инструментом, не имеющим 100-процентного золотого обеспечения. Точнее сказать, эта система на 25-40% обеспечена e-gold, а на 60-75%- ценными бумагами.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Граммы золота DigiGold</w:t>
      </w:r>
      <w:r>
        <w:rPr>
          <w:rFonts w:ascii="Times New Roman" w:hAnsi="Times New Roman" w:cs="Times New Roman"/>
        </w:rPr>
        <w:t xml:space="preserve"> </w:t>
      </w:r>
      <w:r w:rsidRPr="005225BF">
        <w:rPr>
          <w:rFonts w:ascii="Times New Roman" w:hAnsi="Times New Roman" w:cs="Times New Roman"/>
        </w:rPr>
        <w:t>подлежат оплате</w:t>
      </w:r>
      <w:r>
        <w:rPr>
          <w:rFonts w:ascii="Times New Roman" w:hAnsi="Times New Roman" w:cs="Times New Roman"/>
        </w:rPr>
        <w:t xml:space="preserve"> </w:t>
      </w:r>
      <w:r w:rsidRPr="005225BF">
        <w:rPr>
          <w:rFonts w:ascii="Times New Roman" w:hAnsi="Times New Roman" w:cs="Times New Roman"/>
        </w:rPr>
        <w:t>предъявителю «грамм за грамм» в e-gold по требованию. Резервные счета е-металлов, хранимые для обеспечения DigiGold,</w:t>
      </w:r>
      <w:r>
        <w:rPr>
          <w:rFonts w:ascii="Times New Roman" w:hAnsi="Times New Roman" w:cs="Times New Roman"/>
        </w:rPr>
        <w:t xml:space="preserve"> </w:t>
      </w:r>
      <w:r w:rsidRPr="005225BF">
        <w:rPr>
          <w:rFonts w:ascii="Times New Roman" w:hAnsi="Times New Roman" w:cs="Times New Roman"/>
        </w:rPr>
        <w:t>открыты для государственной проверки.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GoldMoney</w:t>
      </w:r>
      <w:r>
        <w:rPr>
          <w:rFonts w:ascii="Times New Roman" w:hAnsi="Times New Roman" w:cs="Times New Roman"/>
        </w:rPr>
        <w:t xml:space="preserve"> </w:t>
      </w:r>
      <w:r w:rsidRPr="005225BF">
        <w:rPr>
          <w:rFonts w:ascii="Times New Roman" w:hAnsi="Times New Roman" w:cs="Times New Roman"/>
        </w:rPr>
        <w:t>является платежной системой цифровой торговли, разработанной Джеймсом Тарком и его коллегами. Разработчики утверждают, что она позволит покупателям и продавцам товаров и услуг заключать сделки и производить практически мгновенные платежи, номинированные и обеспеченные определенным весом золота, называемым GoldGrams. Каждый GolgGrams</w:t>
      </w:r>
      <w:r>
        <w:rPr>
          <w:rFonts w:ascii="Times New Roman" w:hAnsi="Times New Roman" w:cs="Times New Roman"/>
        </w:rPr>
        <w:t xml:space="preserve"> </w:t>
      </w:r>
      <w:r w:rsidRPr="005225BF">
        <w:rPr>
          <w:rFonts w:ascii="Times New Roman" w:hAnsi="Times New Roman" w:cs="Times New Roman"/>
        </w:rPr>
        <w:t>далее будет делиться на тысячные доли грамма.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Система GoldMoney, как утверждают разработчики, имеет три преимущества перед ранее разработанными системами: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обеспечивает уверенность пользователя в конечном результате благодаря устранению платежного риска, наличию современной компьютерной техники, современного программного обеспечения и сложной системы шифрования;</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проста в осуществлении платежей, которые производятся в режиме реального времени и глобального доступа в течение 24 часов с оперативным контролем за расходами;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имеет незамедлительные платежи, устраняя, тем самым, колебания курсов валют и цен на драгоценные металлы, позволяя одновременно сокращать время, необходимое для клиринга платежей. Ожидается, что трансакционные сборы в системе GoldMoney будут чрезвычайно низкими и могут составить менее одного доллара США за каждую сделку.</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Система GoldMoney</w:t>
      </w:r>
      <w:r>
        <w:rPr>
          <w:rFonts w:ascii="Times New Roman" w:hAnsi="Times New Roman" w:cs="Times New Roman"/>
        </w:rPr>
        <w:t xml:space="preserve"> </w:t>
      </w:r>
      <w:r w:rsidRPr="005225BF">
        <w:rPr>
          <w:rFonts w:ascii="Times New Roman" w:hAnsi="Times New Roman" w:cs="Times New Roman"/>
        </w:rPr>
        <w:t xml:space="preserve">защищена рядом патентов, в том числе основным патентом Джеймса Тарка «Метод и система функционирования валюты с товарным обеспечением для оплаты счетов и сокращения платежного риска». </w:t>
      </w:r>
      <w:r w:rsidRPr="005225BF">
        <w:rPr>
          <w:rFonts w:ascii="Times New Roman" w:hAnsi="Times New Roman" w:cs="Times New Roman"/>
        </w:rPr>
        <w:footnoteReference w:customMarkFollows="1" w:id="11"/>
        <w:t>12</w:t>
      </w:r>
    </w:p>
    <w:p w:rsidR="00C06989" w:rsidRPr="007B623D" w:rsidRDefault="00C06989" w:rsidP="00C06989">
      <w:pPr>
        <w:spacing w:before="120"/>
        <w:jc w:val="center"/>
        <w:rPr>
          <w:rFonts w:ascii="Times New Roman" w:hAnsi="Times New Roman" w:cs="Times New Roman"/>
          <w:b/>
          <w:bCs/>
          <w:sz w:val="28"/>
          <w:szCs w:val="28"/>
        </w:rPr>
      </w:pPr>
      <w:bookmarkStart w:id="24" w:name="_Toc37603219"/>
      <w:r w:rsidRPr="007B623D">
        <w:rPr>
          <w:rFonts w:ascii="Times New Roman" w:hAnsi="Times New Roman" w:cs="Times New Roman"/>
          <w:b/>
          <w:bCs/>
          <w:sz w:val="28"/>
          <w:szCs w:val="28"/>
        </w:rPr>
        <w:t>6. Перспективы развития электронных денег .</w:t>
      </w:r>
      <w:bookmarkEnd w:id="24"/>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 мнению некоторых аналитиков, в скором времени электронные средства расчетов полностью вытеснят с рынка наличные деньги и чеки, поскольку они представляют более удобный способ оплаты за товары и услуги.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 подсчетам компаний ABA/Dove, электронные платежи вскоре могут вытеснить наличные деньги и чеки, поскольку уже сегодня каждая вторая покупка в магазине совершается с использованием электронных средств оплаты. Наличные остаются главным средством оплаты в традиционных магазинах лишь для 33% покупателей.</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то время как большинство онлайновых покупок совершается при помощи кредитных карт, почти половина респондентов используют в электронной коммерции чеки и денежные почтовые переводы, а четверть виртуальных покупателей пользуются Р2Р-платежами.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Две трети потребителей оплачивают хотя бы один ежемесячный счет электронными средствами, включая кредитные/дебетовые карточки, Аналитики считают, что к 2003 году онлайновая оплата счетов достигнет значительных объемов, поскольку большинство пользователей начнет использовать или увеличит использование этой платежной опции. Вместе с этим значительно сократится использование "бумажных" платежей - 21% респондентов заявили, что они намерены отказаться от оплаты своих счетов по чекам.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Однако специалисты предупреждают, что в данной области банки столкнутся с конкуренцией со стороны провайдеров финансовых услуг, учитывая, что провайдер, который предоставит пользователям удобный и простой интерфейс сможет удерживать их в течение длительного времени.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Рост оборотов электронной коммерции «Business to consumer» в России, млн. долл. (по данным The Economist, Boston Consulting Group):</w:t>
      </w:r>
    </w:p>
    <w:p w:rsidR="00C06989" w:rsidRPr="005225BF" w:rsidRDefault="009370C0" w:rsidP="00C06989">
      <w:pPr>
        <w:spacing w:before="120"/>
        <w:ind w:firstLine="567"/>
        <w:jc w:val="both"/>
        <w:rPr>
          <w:rFonts w:ascii="Times New Roman" w:hAnsi="Times New Roman" w:cs="Times New Roman"/>
        </w:rPr>
      </w:pPr>
      <w:r>
        <w:rPr>
          <w:rFonts w:ascii="Times New Roman" w:hAnsi="Times New Roman" w:cs="Times New Roman"/>
        </w:rPr>
        <w:pict>
          <v:shape id="_x0000_i1026" type="#_x0000_t75" style="width:412.5pt;height:220.5pt">
            <v:imagedata r:id="rId7" o:title=""/>
          </v:shape>
        </w:pic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Рост электронной коммерции в секторе «Business to consumer», млрд. долл. (по данным eMarketer):</w:t>
      </w:r>
    </w:p>
    <w:p w:rsidR="00C06989" w:rsidRPr="005225BF" w:rsidRDefault="009370C0" w:rsidP="00C06989">
      <w:pPr>
        <w:spacing w:before="120"/>
        <w:ind w:firstLine="567"/>
        <w:jc w:val="both"/>
        <w:rPr>
          <w:rFonts w:ascii="Times New Roman" w:hAnsi="Times New Roman" w:cs="Times New Roman"/>
        </w:rPr>
      </w:pPr>
      <w:r>
        <w:rPr>
          <w:rFonts w:ascii="Times New Roman" w:hAnsi="Times New Roman" w:cs="Times New Roman"/>
        </w:rPr>
        <w:pict>
          <v:shape id="_x0000_i1027" type="#_x0000_t75" style="width:412.5pt;height:162pt">
            <v:imagedata r:id="rId8" o:title=""/>
          </v:shape>
        </w:pic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Доля электронной коммерции в ВВП (GDP) США (по данным eMarketer):</w:t>
      </w:r>
    </w:p>
    <w:tbl>
      <w:tblPr>
        <w:tblW w:w="8138" w:type="dxa"/>
        <w:jc w:val="center"/>
        <w:tblCellSpacing w:w="0" w:type="dxa"/>
        <w:tblCellMar>
          <w:left w:w="0" w:type="dxa"/>
          <w:right w:w="0" w:type="dxa"/>
        </w:tblCellMar>
        <w:tblLook w:val="0000" w:firstRow="0" w:lastRow="0" w:firstColumn="0" w:lastColumn="0" w:noHBand="0" w:noVBand="0"/>
      </w:tblPr>
      <w:tblGrid>
        <w:gridCol w:w="4113"/>
        <w:gridCol w:w="4025"/>
      </w:tblGrid>
      <w:tr w:rsidR="00C06989" w:rsidRPr="005225BF" w:rsidTr="009A4A59">
        <w:trPr>
          <w:trHeight w:val="4887"/>
          <w:tblCellSpacing w:w="0" w:type="dxa"/>
          <w:jc w:val="center"/>
        </w:trPr>
        <w:tc>
          <w:tcPr>
            <w:tcW w:w="0" w:type="auto"/>
            <w:tcBorders>
              <w:top w:val="nil"/>
              <w:left w:val="nil"/>
              <w:bottom w:val="nil"/>
              <w:right w:val="nil"/>
            </w:tcBorders>
            <w:vAlign w:val="center"/>
          </w:tcPr>
          <w:p w:rsidR="00C06989" w:rsidRPr="005225BF" w:rsidRDefault="009370C0" w:rsidP="009A4A59">
            <w:pPr>
              <w:spacing w:before="120"/>
              <w:ind w:firstLine="567"/>
              <w:jc w:val="both"/>
              <w:rPr>
                <w:rFonts w:ascii="Times New Roman" w:hAnsi="Times New Roman" w:cs="Times New Roman"/>
              </w:rPr>
            </w:pPr>
            <w:r>
              <w:rPr>
                <w:rFonts w:ascii="Times New Roman" w:hAnsi="Times New Roman" w:cs="Times New Roman"/>
              </w:rPr>
              <w:pict>
                <v:shape id="_x0000_i1028" type="#_x0000_t75" style="width:170.25pt;height:187.5pt">
                  <v:imagedata r:id="rId9" o:title=""/>
                </v:shape>
              </w:pict>
            </w:r>
          </w:p>
          <w:p w:rsidR="00C06989" w:rsidRPr="005225BF" w:rsidRDefault="00C06989" w:rsidP="009A4A59">
            <w:pPr>
              <w:spacing w:before="120"/>
              <w:ind w:firstLine="567"/>
              <w:jc w:val="both"/>
              <w:rPr>
                <w:rFonts w:ascii="Times New Roman" w:hAnsi="Times New Roman" w:cs="Times New Roman"/>
              </w:rPr>
            </w:pPr>
            <w:r w:rsidRPr="005225BF">
              <w:rPr>
                <w:rFonts w:ascii="Times New Roman" w:hAnsi="Times New Roman" w:cs="Times New Roman"/>
              </w:rPr>
              <w:t>GDP = 8,800 млрд. долл.</w:t>
            </w:r>
          </w:p>
        </w:tc>
        <w:tc>
          <w:tcPr>
            <w:tcW w:w="0" w:type="auto"/>
            <w:tcBorders>
              <w:top w:val="nil"/>
              <w:left w:val="nil"/>
              <w:bottom w:val="nil"/>
              <w:right w:val="nil"/>
            </w:tcBorders>
            <w:vAlign w:val="center"/>
          </w:tcPr>
          <w:p w:rsidR="00C06989" w:rsidRPr="005225BF" w:rsidRDefault="009370C0" w:rsidP="009A4A59">
            <w:pPr>
              <w:spacing w:before="120"/>
              <w:ind w:firstLine="567"/>
              <w:jc w:val="both"/>
              <w:rPr>
                <w:rFonts w:ascii="Times New Roman" w:hAnsi="Times New Roman" w:cs="Times New Roman"/>
              </w:rPr>
            </w:pPr>
            <w:r>
              <w:rPr>
                <w:rFonts w:ascii="Times New Roman" w:hAnsi="Times New Roman" w:cs="Times New Roman"/>
              </w:rPr>
              <w:pict>
                <v:shape id="_x0000_i1029" type="#_x0000_t75" style="width:166.5pt;height:187.5pt">
                  <v:imagedata r:id="rId10" o:title=""/>
                </v:shape>
              </w:pict>
            </w:r>
          </w:p>
          <w:p w:rsidR="00C06989" w:rsidRPr="005225BF" w:rsidRDefault="00C06989" w:rsidP="009A4A59">
            <w:pPr>
              <w:spacing w:before="120"/>
              <w:ind w:firstLine="567"/>
              <w:jc w:val="both"/>
              <w:rPr>
                <w:rFonts w:ascii="Times New Roman" w:hAnsi="Times New Roman" w:cs="Times New Roman"/>
              </w:rPr>
            </w:pPr>
            <w:r w:rsidRPr="005225BF">
              <w:rPr>
                <w:rFonts w:ascii="Times New Roman" w:hAnsi="Times New Roman" w:cs="Times New Roman"/>
              </w:rPr>
              <w:t>GDP = 9,525 млрд. долл.</w:t>
            </w:r>
          </w:p>
        </w:tc>
      </w:tr>
    </w:tbl>
    <w:p w:rsidR="00C06989" w:rsidRDefault="00C06989" w:rsidP="00C06989">
      <w:pPr>
        <w:spacing w:before="120"/>
        <w:ind w:firstLine="567"/>
        <w:jc w:val="both"/>
        <w:rPr>
          <w:rFonts w:ascii="Times New Roman" w:hAnsi="Times New Roman" w:cs="Times New Roman"/>
        </w:rPr>
      </w:pP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Активная Интернет-аудитория в России по данным РОЦИТ, млн.чел.:</w:t>
      </w:r>
    </w:p>
    <w:p w:rsidR="00C06989" w:rsidRDefault="009370C0" w:rsidP="00C06989">
      <w:pPr>
        <w:spacing w:before="120"/>
        <w:ind w:firstLine="567"/>
        <w:jc w:val="both"/>
        <w:rPr>
          <w:rFonts w:ascii="Times New Roman" w:hAnsi="Times New Roman" w:cs="Times New Roman"/>
        </w:rPr>
      </w:pPr>
      <w:r>
        <w:rPr>
          <w:rFonts w:ascii="Times New Roman" w:hAnsi="Times New Roman" w:cs="Times New Roman"/>
        </w:rPr>
        <w:pict>
          <v:shape id="_x0000_i1030" type="#_x0000_t75" style="width:412.5pt;height:169.5pt">
            <v:imagedata r:id="rId11" o:title=""/>
          </v:shape>
        </w:pic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 момента своего образования на российском рынке биржи, торговые площадки используют современные технологии, создавая практически с нуля уникальные по своим характеристикам системы, пытаясь охватить весь рынок, все регионы Российской Федерации. Развиваясь в русле передовых мировых тенденций, организованная электронная торговля становится все более привлекательной на мировом рынке. Возникли предпосылки для сближения и связи торговых площадок как внутри России, так и за ее пределами. Сегодня информационные технологии определяют лицо мирового финансового рынка. Мировые финансовые рынки становятся все более глобальными, и Россия идет в русле этого процесса. Вызовом времени является интернационализация мировой экономики, которая сегодня выступает в качестве глобально интегрированной хозяйственной системы.</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Наша страна собирается сделать важный шаг - вступить во Всемирную торговую организацию (ВТО). Необходимым условием вступления в ВТО является интеграция России в международный финансовый рынок. Поэтому, говоря о перспективах развития российского рынка, в качестве одного из главных этапов можно выделить интеграцию в инфраструктуру мирового рынка капитала. Эта работа уже началась. Электронные технологии стремительно развиваются. Сегодня уже трудно представить нашу жизнь без Интернета. В последние несколько лет в мире быстро растет популярность торговли акциями компаний через Интернет. Индивидуальные инвесторы получили возможность заключать сделки, по сути, не выходя из дома. В 1999 году было положено начало развития Интернет-трейдинга на фондовом рынке России.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Общий объем сделок через Интернет на российском рынке постоянно растет, и по некоторым оценкам уже в 2001 году составил около 40% совокупного оборота фондового рынка. К примеру, в декабре 2001 года уже порядка 47% объема торгов и около 70% сделок на фондовом рынке ММВБ было заключено через Интернет. Торговля через Интернет сегодня наиболее простой и удобный доступ частных инвесторов на финансовых рынках. С распространением Интернет-трейдинга стало увеличиваться число сделок небольшого объема. Иными словами, опережающими темпами растет активность клиентов на фондовом рынке и доля клиентских операций в общем обороте.</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Интересно отметить, что лидерами во внедрении и продвижении Интернет-трейдинга на российском фондовом рынке оказались не крупные, а динамичные брокерские компании, которые теперь устойчиво входят в первую десятку участников рынка по оборотам. В то же время крупные брокерские компании и банки начали осваивать новую услугу значительно позже. Сегодняшние реалии таковы, что побеждает не "большая", а "быстрая" компания.</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Получив по ряду причин начало на фондовом рынке, Интернет-трейдинг уверенно развивается в настоящее время и на других секторах финансового рынка: государственных ценных бумаг; валютном; срочном.</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будущем развитие Интернет-трейдинга будет определяться следующими основными тенденциями. Прежде всего, расширится как спектр рынков и торгуемых инструментов, предлагаемых в рамках систем Интернет-трейдинга, так и предлагаемый сервис и спектр дополнительных услуг для клиентов на базе их полной автоматизации. Мы увидим более тесную взаимосвязь в рамках одной Интернет-системы функций банковских систем, Интернет-трейдинга и систем депозитарного и бэк-офисного обслуживания. Кроме того, более активно будет продолжаться процесс расширения аналитической и информационной поддержки клиентов на основе интеграции с информационными и аналитическими Интернет-системами, разрабатываемыми информационными агентствами.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При условии низкого уровня развития телекоммуникационных сетей, особенно в регионах России, безусловно, одним из приоритетных направлений развития станет повышение качества работы, улучшение потребительских свойств систем Интернет-трейдинга. Решение этой проблемы лежит не только в области совершенствования применяемых технических и программных средств Интернет-трейдинговых систем, но и в области создания систем нового поколения, позволяющей существенно расширить технологические возможности обслуживания клиентов и повысить качество их работы.</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Очень важным фактором, влияющим на процесс развития Интернет-бизнеса на финансовых рынках, в самое ближайшее время, с появлением соответствующей нормативной базы, несомненно, станет необходимость обязательного применения в системах удаленного доступа через Интернет сертифицированных программных средств защиты информации и электронной цифровой подписи. 10 января 2002 года Президент РФ В. В. Путин подписал Федеральных закон "Об электронной цифровой подписи", направленный на обеспечение правовых условий использования электронной цифровой подписи в электронных документах, при соблюдении которых электронная цифровая подпись в электронном документе признается равнозначной собственноручной подписи в документе на бумажном носителе.</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 появлением Интернет-технологий возникла реальная необходимость соединить разрозненные технологические звенья процесса обслуживания клиентов в единую цепочку. Инвесторы теперь могут с помощью автоматизированных систем следить за всем процессом инвестирования и управлять своими активами в режиме реального времени. Такой подход требует постоянной модернизации программных продуктов и всех систем различного функционального назначения с цепью возможности их информационной взаимосвязи в режиме реального времени либо их объединения в единые программно-технические комплексы многофункционального назначения.</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Интерактивная торговля, по-видимому, становится повсеместной. Или так только кажется? В многочисленных отчетах утверждается, что лишь треть всех пользователей Internet действительно совершает покупки, а большинство остерегается подобных сделок из соображений безопасности. В ответ торговые компании пытаются найти способ превратить заинтересованных в их услугах, но недоверчивых людей в Web-покупателей. Возможным решением в данном случае могут стать электронные деньги.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Несмотря на все перечисленные плюсы электронных денег они не пользуются высокой популярностью. Однако по прогнозам GartnerGroup, в ближайшие пять лет технология электронных денег будет значительно усовершенствована, и к концу 2009 года объем электронных платежей составит 60% всех интерактивных транзакций, хотя сейчас этот показатель не превышает 14%.</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Компании, принимающие электронные деньги, могут рассчитывать на снижение издержек, вызванных неоплатой счетов при использовании кредитных карт, а также на расширение объема коммерческих сделок между производителями и потребителями, а также между отдельными пользователями.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Некоторые ведущие компании, работающие в этой области, предлагают производителям и потребителям средства проведения интерактивных сделок, используя электронные деньги. Уже существует ряд хорошо известных и крупных узлов, где компании могут подписать соглашение об использовании средств электронной оплаты. К подобным решениям. В частности, относятся службы PayPal компании X.com, Flooz одноименной компании и пакет продуктов Monneta компании eCash Techologies.</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Ударной же технологией для электронных денег, которая уже скоро (примерно через год) взорвет платину сдерживающую бизнес в Internet, является технология smart-card, то есть пластиковых карт с компьютером и криптографическим программным обеспечением внутри.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Такая карта, как уже отмечалось будет годна не только для оплаты товаров в магазинах, но и для расчетов в Internet. Это будет очень скоро (хотя уже сегодня в</w:t>
      </w:r>
      <w:r>
        <w:rPr>
          <w:rFonts w:ascii="Times New Roman" w:hAnsi="Times New Roman" w:cs="Times New Roman"/>
        </w:rPr>
        <w:t xml:space="preserve"> </w:t>
      </w:r>
      <w:r w:rsidRPr="005225BF">
        <w:rPr>
          <w:rFonts w:ascii="Times New Roman" w:hAnsi="Times New Roman" w:cs="Times New Roman"/>
        </w:rPr>
        <w:t>России появились, основанные на smart-картах, электронные деньги, помеченные для "для уплаты штрафов ГАИ") однако, сейчас реально работают другие электронные платежные системы. Ими просто воспользоваться, и тем, кто уже созрел для организации своего виртуально бизнеса, полезно начать именно с них, тем паче, что с введением в широкий оборот smart-карт технология виртуального бизнеса не изменится (хотя и будет уже настолько проста, что любая школьница будет в состоянии его организовать).</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Технология электронных денег привлекает к себе немалый интерес, и многие торговые компании начинают использовать такую форму и такие средства оплаты.</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обещают превратить потребителей, предпочитающих сейчас самые разные способы делать покупки, в покупателей, для которых альтернативы Internet-магазинам Web не существует.</w:t>
      </w:r>
    </w:p>
    <w:p w:rsidR="00C06989" w:rsidRPr="007B623D" w:rsidRDefault="00C06989" w:rsidP="00C06989">
      <w:pPr>
        <w:spacing w:before="120"/>
        <w:jc w:val="center"/>
        <w:rPr>
          <w:rFonts w:ascii="Times New Roman" w:hAnsi="Times New Roman" w:cs="Times New Roman"/>
          <w:b/>
          <w:bCs/>
          <w:sz w:val="28"/>
          <w:szCs w:val="28"/>
        </w:rPr>
      </w:pPr>
      <w:bookmarkStart w:id="25" w:name="_Toc500391893"/>
      <w:r w:rsidRPr="007B623D">
        <w:rPr>
          <w:rFonts w:ascii="Times New Roman" w:hAnsi="Times New Roman" w:cs="Times New Roman"/>
          <w:b/>
          <w:bCs/>
          <w:sz w:val="28"/>
          <w:szCs w:val="28"/>
        </w:rPr>
        <w:t>Электронные деньги - мир без границ</w:t>
      </w:r>
      <w:bookmarkEnd w:id="25"/>
      <w:r w:rsidRPr="007B623D">
        <w:rPr>
          <w:rFonts w:ascii="Times New Roman" w:hAnsi="Times New Roman" w:cs="Times New Roman"/>
          <w:b/>
          <w:bCs/>
          <w:sz w:val="28"/>
          <w:szCs w:val="28"/>
        </w:rPr>
        <w:t>:</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Многоуровневая система позволит легко переслать деньги от селения в дебрях Парагвая в сибирскую деревню, позволит устанавливать денежные связи между любыми людьми на Земле, где бы они ни находились, превратит все Человечество в единый финансовый социум.</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Открытый для денег мир станет открытым для людей, для товаров, для идей, для любого общения. Именно электронные деньги осуществят вековечную мечту Человечества об объединении людей. Именно электронные деньги ликвидируют все границы, превратят границы в понятия картографические, а затем, возможно, и вообще ликвидируют их.</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Человек сможет свободно поехать в любую точку Земли всего лишь с одной карточкой в кармане и найти там пищу и кров, развлечения и все, что ему необходимо, естественно, если на этой карточке, точнее, на счете в банке, который управляется карточкой, есть деньги. Просто деньги. А не деньги американские или японские. А в дальнейшем можно представить, что не потребуется и самой карточки, номер банковского счета может быть записан на ладони невидимой и несмываемой краской, идентификация личности и его счета будет осуществляться по папилярному узору на его пальце.</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Можно предположить, что не нужны будут никакие паспорта и прописки, номер банковского счета станет единственным идентификатором личности человека, причем идентификатором уникальным, единственным, идентификатором от рождения до смерти и даже после смерти.</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Все его банковские операции - его покупки, поступления и иные финансовые движения в течение определенного времени могут храниться в банке.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Таким образом, мир вступает в ХХI веке в эпоху не правового, а финансового общества. Управлять поведением индивида будет уже не право, которое надо знать, надо понимать, надо где-то что-то читать и помнить. В эпоху электронных денег большинство нарушений будут просто невозможными просто потому, что их не пропустит компьютер. Если запрещены наркотики, то вы их не сможете купить просто потому, что компьютер не пропустит платеж от физического лица производителю наркотических средств. Если запрещено приобретение частными лицами каких-то опасных продуктов - радиоактивных веществ, ядов, оружия и т.д., то физическое лицо не сможет их приобрести, потому что платеж от физического лица к предприятиям- производителям или поставщикам будет просто заблокирован в банковском компьютере.. А тем, за что невозможно заплатить, невозможно и обладать. Конечно, может какой-то мастер сделать пугач для самого себя, но, понятно, что такая "преступность" обществу ничем не грозит, аналогично тому, как десяток мальчишек, пробегающих в метро без монеты, не представляют для метрополитена никакой опасности или финансового ущерба. Так что малая преступность обществу вовсе не опасна, скорее даже полезна, главное чтобы не было возможностей для массовой преступности, ее ликвидируют электронные деньги.</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Итак, электронные деньги - это общество свободы, общество, в котором человек свободен в своем передвижении по всему миру - не только белый человек из Северной Америки и Западной Европы, а любой человек на Земле. Это общество подлинно равных людей в том смысле, что рамки поведения задаются, фактически, компьютером, которому невозможно дать взятку или задобрить, который не способен делать каких-либо различий между людьми - будь то дворник или президент, где ваши права зависят не от чиновника, который может разрешить, а может не разрешить. Здесь все предельно просто. Компьютерная программа запрещает это действие - оно будет запрещено, и любые мольбы, "подходы" и взятки бессильны его уломать. Так что мы действительно видим, идея правового государства - это вчерашний день человеческой цивилизации, ХХI век не век права, а век финансового регулирования человеческого поведения через бездушные универсальные единые алгоритмы, финансового запрета, создающие широчайший простор для допустимых действий. Это такая свобода, перед которой свободы правового государства будут казаться настоящим рабством и чиновничьей деспотией. Человек ощущает обиду, если знает, что может, но нельзя, так как запрещают человек или циркуляр. А на машину у него не может быть обид, никто не обижается на турникет в метро, который не пропускает без жетончика. Такова разница между правовым (юридическим) и финансовым социальными устройствами.</w:t>
      </w:r>
    </w:p>
    <w:p w:rsidR="00C06989" w:rsidRPr="007B623D" w:rsidRDefault="00C06989" w:rsidP="00C06989">
      <w:pPr>
        <w:spacing w:before="120"/>
        <w:jc w:val="center"/>
        <w:rPr>
          <w:rFonts w:ascii="Times New Roman" w:hAnsi="Times New Roman" w:cs="Times New Roman"/>
          <w:b/>
          <w:bCs/>
          <w:sz w:val="28"/>
          <w:szCs w:val="28"/>
        </w:rPr>
      </w:pPr>
      <w:bookmarkStart w:id="26" w:name="_Toc2656715"/>
      <w:bookmarkStart w:id="27" w:name="_Toc37603220"/>
      <w:r w:rsidRPr="007B623D">
        <w:rPr>
          <w:rFonts w:ascii="Times New Roman" w:hAnsi="Times New Roman" w:cs="Times New Roman"/>
          <w:b/>
          <w:bCs/>
          <w:sz w:val="28"/>
          <w:szCs w:val="28"/>
        </w:rPr>
        <w:t>7.Заключение</w:t>
      </w:r>
      <w:bookmarkEnd w:id="26"/>
      <w:r w:rsidRPr="007B623D">
        <w:rPr>
          <w:rFonts w:ascii="Times New Roman" w:hAnsi="Times New Roman" w:cs="Times New Roman"/>
          <w:b/>
          <w:bCs/>
          <w:sz w:val="28"/>
          <w:szCs w:val="28"/>
        </w:rPr>
        <w:t>.</w:t>
      </w:r>
      <w:bookmarkEnd w:id="27"/>
      <w:r w:rsidRPr="007B623D">
        <w:rPr>
          <w:rFonts w:ascii="Times New Roman" w:hAnsi="Times New Roman" w:cs="Times New Roman"/>
          <w:b/>
          <w:bCs/>
          <w:sz w:val="28"/>
          <w:szCs w:val="28"/>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Итак, видно, что электронные деньги - это очень гибкий инструмент, позволяющий расширить сферу применения наличных денег. С их помощью также легко одолжить деньги другу (причем на расстоянии) и использовать их в повседневной "неэлектронной" жизни, как и оплатить покупку в Internet или устроить там свой собственный бизнес.</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Только Электронные деньги могут обеспечить микроплатежи - так необходимые для информационного бизнеса и продажи публикаций. Такие электронные деньги могут быть помечены для специального использования (только для кино, например), что весьма удобно для контроля денег в семье.</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Стоимость транзакции с использованием электронных денег и их обработка и учет значительно дешевле стоимости обработки традиционных денег, кредитных карт и чеков и других средств платежа. Обработка электронных денег проще, и их использование может серьезно изменить структуру банков и сократить персонал.</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в отличии от чековых и кредитных систем, позволяют поддерживать анонимность транзакций (в той или иной степени), так как не требуют при их использовании удостоверения личности плательщика и его кредитоспособности.</w:t>
      </w:r>
      <w:r>
        <w:rPr>
          <w:rFonts w:ascii="Times New Roman" w:hAnsi="Times New Roman" w:cs="Times New Roman"/>
        </w:rPr>
        <w:t xml:space="preserve"> </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В отличии от традиционных наличных денег оплата с помощью электронных денег не требует присутствия плательщика и получателя, так как передача может производиться дистанционно по Internet или по телефону.</w:t>
      </w:r>
      <w:r>
        <w:rPr>
          <w:rFonts w:ascii="Times New Roman" w:hAnsi="Times New Roman" w:cs="Times New Roman"/>
        </w:rPr>
        <w:t xml:space="preserve"> </w:t>
      </w:r>
    </w:p>
    <w:p w:rsidR="00C06989" w:rsidRPr="007B623D" w:rsidRDefault="00C06989" w:rsidP="00C06989">
      <w:pPr>
        <w:spacing w:before="120"/>
        <w:jc w:val="center"/>
        <w:rPr>
          <w:rFonts w:ascii="Times New Roman" w:hAnsi="Times New Roman" w:cs="Times New Roman"/>
          <w:b/>
          <w:bCs/>
          <w:sz w:val="28"/>
          <w:szCs w:val="28"/>
        </w:rPr>
      </w:pPr>
      <w:bookmarkStart w:id="28" w:name="_Toc37603221"/>
      <w:r w:rsidRPr="007B623D">
        <w:rPr>
          <w:rFonts w:ascii="Times New Roman" w:hAnsi="Times New Roman" w:cs="Times New Roman"/>
          <w:b/>
          <w:bCs/>
          <w:sz w:val="28"/>
          <w:szCs w:val="28"/>
        </w:rPr>
        <w:t>Список литературы</w:t>
      </w:r>
      <w:bookmarkEnd w:id="28"/>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ЭКО 2002: «Электронные деньги как новая составляющая кредитно-денежной системы».</w:t>
      </w:r>
    </w:p>
    <w:p w:rsidR="00C06989"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Деньги и кредит 9/2002: «Современная интерпретация понятия «электронные деньги: модель денежных обязательств».</w:t>
      </w:r>
      <w:r>
        <w:rPr>
          <w:rFonts w:ascii="Times New Roman" w:hAnsi="Times New Roman" w:cs="Times New Roman"/>
        </w:rPr>
        <w:t xml:space="preserve"> </w:t>
      </w:r>
    </w:p>
    <w:p w:rsidR="00C06989" w:rsidRPr="005225BF" w:rsidRDefault="00C06989" w:rsidP="00C06989">
      <w:pPr>
        <w:spacing w:before="120"/>
        <w:ind w:firstLine="567"/>
        <w:jc w:val="both"/>
        <w:rPr>
          <w:rFonts w:ascii="Times New Roman" w:hAnsi="Times New Roman" w:cs="Times New Roman"/>
        </w:rPr>
      </w:pPr>
      <w:r w:rsidRPr="002200E8">
        <w:rPr>
          <w:rFonts w:ascii="Times New Roman" w:hAnsi="Times New Roman" w:cs="Times New Roman"/>
        </w:rPr>
        <w:t>http://www.i2r.ru</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 xml:space="preserve">Известия СПбГУЭиФ: «Электронные формы денег и новые виды платежных систем» С. А. Белозеров. </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Мировая экономика и международные отношения 2002/3 : «Центральные банки в эпоху электронных денег» М. Грачев.</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Финансист 8-9/2001: «Золото в системе цифровых денег» В. Бауэр.</w:t>
      </w:r>
    </w:p>
    <w:p w:rsidR="00C06989" w:rsidRPr="005225BF" w:rsidRDefault="00C06989" w:rsidP="00C06989">
      <w:pPr>
        <w:spacing w:before="120"/>
        <w:ind w:firstLine="567"/>
        <w:jc w:val="both"/>
        <w:rPr>
          <w:rFonts w:ascii="Times New Roman" w:hAnsi="Times New Roman" w:cs="Times New Roman"/>
        </w:rPr>
      </w:pPr>
      <w:r w:rsidRPr="002200E8">
        <w:rPr>
          <w:rFonts w:ascii="Times New Roman" w:hAnsi="Times New Roman" w:cs="Times New Roman"/>
        </w:rPr>
        <w:t>http://www.webmoney.</w:t>
      </w:r>
      <w:r w:rsidRPr="005225BF">
        <w:rPr>
          <w:rFonts w:ascii="Times New Roman" w:hAnsi="Times New Roman" w:cs="Times New Roman"/>
        </w:rPr>
        <w:t>ru</w:t>
      </w:r>
    </w:p>
    <w:p w:rsidR="00C06989" w:rsidRPr="005225BF" w:rsidRDefault="00C06989" w:rsidP="00C06989">
      <w:pPr>
        <w:spacing w:before="120"/>
        <w:ind w:firstLine="567"/>
        <w:jc w:val="both"/>
        <w:rPr>
          <w:rFonts w:ascii="Times New Roman" w:hAnsi="Times New Roman" w:cs="Times New Roman"/>
        </w:rPr>
      </w:pPr>
      <w:r w:rsidRPr="002200E8">
        <w:rPr>
          <w:rFonts w:ascii="Times New Roman" w:hAnsi="Times New Roman" w:cs="Times New Roman"/>
        </w:rPr>
        <w:t>www.bizcom.ru</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«Электронные деньги» 2001 С. Афонина.</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http: //www.bbin.ru/cards</w:t>
      </w:r>
    </w:p>
    <w:p w:rsidR="00C06989" w:rsidRPr="005225BF" w:rsidRDefault="00C06989" w:rsidP="00C06989">
      <w:pPr>
        <w:spacing w:before="120"/>
        <w:ind w:firstLine="567"/>
        <w:jc w:val="both"/>
        <w:rPr>
          <w:rFonts w:ascii="Times New Roman" w:hAnsi="Times New Roman" w:cs="Times New Roman"/>
        </w:rPr>
      </w:pPr>
      <w:r w:rsidRPr="005225BF">
        <w:rPr>
          <w:rFonts w:ascii="Times New Roman" w:hAnsi="Times New Roman" w:cs="Times New Roman"/>
        </w:rPr>
        <w:t>Финансы и кредит. Пластиковые карточки. №3. – 1999.</w:t>
      </w:r>
    </w:p>
    <w:p w:rsidR="00C06989" w:rsidRDefault="00C06989" w:rsidP="00C06989">
      <w:pPr>
        <w:spacing w:before="120"/>
        <w:ind w:firstLine="567"/>
        <w:jc w:val="both"/>
        <w:rPr>
          <w:rFonts w:ascii="Times New Roman" w:hAnsi="Times New Roman" w:cs="Times New Roman"/>
        </w:rPr>
      </w:pPr>
      <w:r w:rsidRPr="002200E8">
        <w:rPr>
          <w:rFonts w:ascii="Times New Roman" w:hAnsi="Times New Roman" w:cs="Times New Roman"/>
        </w:rPr>
        <w:t>http://www.e-commerce.ru</w:t>
      </w:r>
    </w:p>
    <w:p w:rsidR="00B42C45" w:rsidRDefault="00B42C45">
      <w:bookmarkStart w:id="29" w:name="_GoBack"/>
      <w:bookmarkEnd w:id="29"/>
    </w:p>
    <w:sectPr w:rsidR="00B42C45" w:rsidSect="00710178">
      <w:type w:val="continuous"/>
      <w:pgSz w:w="11909" w:h="16834"/>
      <w:pgMar w:top="1134" w:right="1134" w:bottom="1134" w:left="1134" w:header="720" w:footer="720" w:gutter="0"/>
      <w:cols w:space="708"/>
      <w:noEndnote/>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F4A" w:rsidRDefault="00752F4A">
      <w:r>
        <w:separator/>
      </w:r>
    </w:p>
  </w:endnote>
  <w:endnote w:type="continuationSeparator" w:id="0">
    <w:p w:rsidR="00752F4A" w:rsidRDefault="00752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F4A" w:rsidRDefault="00752F4A">
      <w:r>
        <w:separator/>
      </w:r>
    </w:p>
  </w:footnote>
  <w:footnote w:type="continuationSeparator" w:id="0">
    <w:p w:rsidR="00752F4A" w:rsidRDefault="00752F4A">
      <w:r>
        <w:continuationSeparator/>
      </w:r>
    </w:p>
  </w:footnote>
  <w:footnote w:id="1">
    <w:p w:rsidR="00C06989" w:rsidRDefault="00C06989" w:rsidP="00C06989">
      <w:pPr>
        <w:pStyle w:val="a4"/>
        <w:rPr>
          <w:rFonts w:ascii="Verdana" w:hAnsi="Verdana" w:cs="Verdana"/>
        </w:rPr>
      </w:pPr>
      <w:r>
        <w:rPr>
          <w:rStyle w:val="a6"/>
          <w:rFonts w:ascii="Verdana" w:hAnsi="Verdana" w:cs="Verdana"/>
        </w:rPr>
        <w:sym w:font="Symbol" w:char="F031"/>
      </w:r>
      <w:r>
        <w:rPr>
          <w:rFonts w:ascii="Verdana" w:hAnsi="Verdana" w:cs="Verdana"/>
        </w:rPr>
        <w:t xml:space="preserve"> Деньги и кредит 9/2002: «Современная интерпретация понятия «электронные деньги: модель денежных обязательств».</w:t>
      </w:r>
    </w:p>
    <w:p w:rsidR="00C06989" w:rsidRDefault="00C06989" w:rsidP="00C06989">
      <w:pPr>
        <w:pStyle w:val="a4"/>
        <w:rPr>
          <w:rFonts w:ascii="Verdana" w:hAnsi="Verdana" w:cs="Verdana"/>
        </w:rPr>
      </w:pPr>
      <w:r>
        <w:rPr>
          <w:rFonts w:ascii="Verdana" w:hAnsi="Verdana" w:cs="Verdana"/>
          <w:vertAlign w:val="superscript"/>
        </w:rPr>
        <w:t>2</w:t>
      </w:r>
      <w:r>
        <w:rPr>
          <w:rFonts w:ascii="Verdana" w:hAnsi="Verdana" w:cs="Verdana"/>
        </w:rPr>
        <w:t>ЭКО 2002: «Электронные деньги как новая составляющая кредитно-денежной системы».</w:t>
      </w:r>
    </w:p>
    <w:p w:rsidR="00752F4A" w:rsidRDefault="00752F4A" w:rsidP="00C06989">
      <w:pPr>
        <w:pStyle w:val="a4"/>
      </w:pPr>
    </w:p>
  </w:footnote>
  <w:footnote w:id="2">
    <w:p w:rsidR="00752F4A" w:rsidRDefault="00C06989" w:rsidP="00C06989">
      <w:pPr>
        <w:pStyle w:val="a4"/>
      </w:pPr>
      <w:r>
        <w:rPr>
          <w:rStyle w:val="a6"/>
          <w:rFonts w:ascii="Verdana" w:hAnsi="Verdana" w:cs="Verdana"/>
        </w:rPr>
        <w:sym w:font="Symbol" w:char="F033"/>
      </w:r>
      <w:r>
        <w:rPr>
          <w:rFonts w:ascii="Verdana" w:hAnsi="Verdana" w:cs="Verdana"/>
        </w:rPr>
        <w:t xml:space="preserve"> </w:t>
      </w:r>
      <w:r>
        <w:rPr>
          <w:rFonts w:ascii="Verdana" w:hAnsi="Verdana" w:cs="Verdana"/>
          <w:color w:val="000000"/>
        </w:rPr>
        <w:t xml:space="preserve">Интернет ресурс – </w:t>
      </w:r>
      <w:r w:rsidRPr="0058756F">
        <w:rPr>
          <w:rFonts w:ascii="Verdana" w:hAnsi="Verdana" w:cs="Verdana"/>
          <w:color w:val="000000"/>
          <w:lang w:val="en-US"/>
        </w:rPr>
        <w:t>http</w:t>
      </w:r>
      <w:r w:rsidRPr="0058756F">
        <w:rPr>
          <w:rFonts w:ascii="Verdana" w:hAnsi="Verdana" w:cs="Verdana"/>
          <w:color w:val="000000"/>
        </w:rPr>
        <w:t>://</w:t>
      </w:r>
      <w:r w:rsidRPr="0058756F">
        <w:rPr>
          <w:rFonts w:ascii="Verdana" w:hAnsi="Verdana" w:cs="Verdana"/>
          <w:color w:val="000000"/>
          <w:lang w:val="en-US"/>
        </w:rPr>
        <w:t>www</w:t>
      </w:r>
      <w:r w:rsidRPr="0058756F">
        <w:rPr>
          <w:rFonts w:ascii="Verdana" w:hAnsi="Verdana" w:cs="Verdana"/>
          <w:color w:val="000000"/>
        </w:rPr>
        <w:t>.</w:t>
      </w:r>
      <w:r w:rsidRPr="0058756F">
        <w:rPr>
          <w:rFonts w:ascii="Verdana" w:hAnsi="Verdana" w:cs="Verdana"/>
          <w:color w:val="000000"/>
          <w:lang w:val="en-US"/>
        </w:rPr>
        <w:t>i</w:t>
      </w:r>
      <w:r w:rsidRPr="0058756F">
        <w:rPr>
          <w:rFonts w:ascii="Verdana" w:hAnsi="Verdana" w:cs="Verdana"/>
          <w:color w:val="000000"/>
        </w:rPr>
        <w:t>2</w:t>
      </w:r>
      <w:r w:rsidRPr="0058756F">
        <w:rPr>
          <w:rFonts w:ascii="Verdana" w:hAnsi="Verdana" w:cs="Verdana"/>
          <w:color w:val="000000"/>
          <w:lang w:val="en-US"/>
        </w:rPr>
        <w:t>r</w:t>
      </w:r>
      <w:r w:rsidRPr="0058756F">
        <w:rPr>
          <w:rFonts w:ascii="Verdana" w:hAnsi="Verdana" w:cs="Verdana"/>
          <w:color w:val="000000"/>
        </w:rPr>
        <w:t>.</w:t>
      </w:r>
      <w:r w:rsidRPr="0058756F">
        <w:rPr>
          <w:rFonts w:ascii="Verdana" w:hAnsi="Verdana" w:cs="Verdana"/>
          <w:color w:val="000000"/>
          <w:lang w:val="en-US"/>
        </w:rPr>
        <w:t>ru</w:t>
      </w:r>
    </w:p>
  </w:footnote>
  <w:footnote w:id="3">
    <w:p w:rsidR="00752F4A" w:rsidRDefault="00C06989" w:rsidP="00C06989">
      <w:pPr>
        <w:pStyle w:val="a4"/>
      </w:pPr>
      <w:r>
        <w:rPr>
          <w:rStyle w:val="a6"/>
        </w:rPr>
        <w:sym w:font="Symbol" w:char="F034"/>
      </w:r>
      <w:r>
        <w:t xml:space="preserve"> </w:t>
      </w:r>
      <w:r>
        <w:rPr>
          <w:rFonts w:ascii="Verdana" w:hAnsi="Verdana" w:cs="Verdana"/>
        </w:rPr>
        <w:t xml:space="preserve">Известия СПбГУЭиФ: «Электронные формы денег и новые виды платежных систем» С. А. Белозеров. </w:t>
      </w:r>
    </w:p>
  </w:footnote>
  <w:footnote w:id="4">
    <w:p w:rsidR="00752F4A" w:rsidRDefault="00C06989" w:rsidP="00C06989">
      <w:pPr>
        <w:pStyle w:val="a4"/>
      </w:pPr>
      <w:r>
        <w:rPr>
          <w:rStyle w:val="a6"/>
        </w:rPr>
        <w:sym w:font="Symbol" w:char="F035"/>
      </w:r>
      <w:r>
        <w:t xml:space="preserve"> </w:t>
      </w:r>
      <w:r>
        <w:rPr>
          <w:rFonts w:ascii="Verdana" w:hAnsi="Verdana" w:cs="Verdana"/>
        </w:rPr>
        <w:t>ЭКО 2002г. : «Электронные деньги как новая составляющая кредитно-денежной системы» Д. Е. Евсюков.</w:t>
      </w:r>
    </w:p>
  </w:footnote>
  <w:footnote w:id="5">
    <w:p w:rsidR="00752F4A" w:rsidRDefault="00C06989" w:rsidP="00C06989">
      <w:pPr>
        <w:pStyle w:val="a4"/>
      </w:pPr>
      <w:r>
        <w:rPr>
          <w:rStyle w:val="a6"/>
        </w:rPr>
        <w:sym w:font="Symbol" w:char="F036"/>
      </w:r>
      <w:r>
        <w:t xml:space="preserve"> </w:t>
      </w:r>
      <w:r>
        <w:rPr>
          <w:rFonts w:ascii="Verdana" w:hAnsi="Verdana" w:cs="Verdana"/>
        </w:rPr>
        <w:t>Мировая экономика и международные отношения 2002/3 : «Центральные банки в эпоху электронных денег» М. Грачев.</w:t>
      </w:r>
    </w:p>
  </w:footnote>
  <w:footnote w:id="6">
    <w:p w:rsidR="00752F4A" w:rsidRDefault="00C06989" w:rsidP="00C06989">
      <w:pPr>
        <w:pStyle w:val="a4"/>
      </w:pPr>
      <w:r>
        <w:rPr>
          <w:rStyle w:val="a6"/>
        </w:rPr>
        <w:sym w:font="Symbol" w:char="F037"/>
      </w:r>
      <w:r>
        <w:t xml:space="preserve"> </w:t>
      </w:r>
      <w:r>
        <w:rPr>
          <w:rFonts w:ascii="Verdana" w:hAnsi="Verdana" w:cs="Verdana"/>
        </w:rPr>
        <w:t>Финансист 8-9/2001: «Золото в системе цифровых денег» В. Бауэр.</w:t>
      </w:r>
    </w:p>
  </w:footnote>
  <w:footnote w:id="7">
    <w:p w:rsidR="00752F4A" w:rsidRDefault="00C06989" w:rsidP="00C06989">
      <w:pPr>
        <w:pStyle w:val="a4"/>
      </w:pPr>
      <w:r>
        <w:rPr>
          <w:rStyle w:val="a6"/>
        </w:rPr>
        <w:sym w:font="Symbol" w:char="F038"/>
      </w:r>
      <w:r>
        <w:t xml:space="preserve"> </w:t>
      </w:r>
      <w:r w:rsidRPr="0058756F">
        <w:rPr>
          <w:rFonts w:ascii="Courier New" w:hAnsi="Courier New" w:cs="Courier New"/>
          <w:sz w:val="26"/>
          <w:szCs w:val="26"/>
        </w:rPr>
        <w:t>http://www.webmoney.</w:t>
      </w:r>
      <w:r>
        <w:rPr>
          <w:rFonts w:ascii="Courier New" w:hAnsi="Courier New" w:cs="Courier New"/>
          <w:sz w:val="26"/>
          <w:szCs w:val="26"/>
          <w:lang w:val="en-US"/>
        </w:rPr>
        <w:t>ru</w:t>
      </w:r>
    </w:p>
  </w:footnote>
  <w:footnote w:id="8">
    <w:p w:rsidR="00752F4A" w:rsidRDefault="00C06989" w:rsidP="00C06989">
      <w:pPr>
        <w:pStyle w:val="a4"/>
      </w:pPr>
      <w:r>
        <w:rPr>
          <w:rStyle w:val="a6"/>
          <w:rFonts w:ascii="Verdana" w:hAnsi="Verdana" w:cs="Verdana"/>
        </w:rPr>
        <w:sym w:font="Symbol" w:char="F039"/>
      </w:r>
      <w:r>
        <w:rPr>
          <w:rFonts w:ascii="Verdana" w:hAnsi="Verdana" w:cs="Verdana"/>
        </w:rPr>
        <w:t xml:space="preserve"> </w:t>
      </w:r>
      <w:r>
        <w:rPr>
          <w:rFonts w:ascii="Verdana" w:hAnsi="Verdana" w:cs="Verdana"/>
          <w:lang w:val="en-US"/>
        </w:rPr>
        <w:t>www</w:t>
      </w:r>
      <w:r w:rsidRPr="007B623D">
        <w:rPr>
          <w:rFonts w:ascii="Verdana" w:hAnsi="Verdana" w:cs="Verdana"/>
        </w:rPr>
        <w:t>.</w:t>
      </w:r>
      <w:r>
        <w:rPr>
          <w:rFonts w:ascii="Verdana" w:hAnsi="Verdana" w:cs="Verdana"/>
          <w:lang w:val="en-US"/>
        </w:rPr>
        <w:t>bizcom</w:t>
      </w:r>
      <w:r w:rsidRPr="007B623D">
        <w:rPr>
          <w:rFonts w:ascii="Verdana" w:hAnsi="Verdana" w:cs="Verdana"/>
        </w:rPr>
        <w:t>.</w:t>
      </w:r>
      <w:r>
        <w:rPr>
          <w:rFonts w:ascii="Verdana" w:hAnsi="Verdana" w:cs="Verdana"/>
          <w:lang w:val="en-US"/>
        </w:rPr>
        <w:t>ru</w:t>
      </w:r>
    </w:p>
  </w:footnote>
  <w:footnote w:id="9">
    <w:p w:rsidR="00752F4A" w:rsidRDefault="00C06989" w:rsidP="00C06989">
      <w:pPr>
        <w:pStyle w:val="a4"/>
      </w:pPr>
      <w:r>
        <w:rPr>
          <w:rStyle w:val="a6"/>
          <w:rFonts w:ascii="Verdana" w:hAnsi="Verdana" w:cs="Verdana"/>
        </w:rPr>
        <w:t>10</w:t>
      </w:r>
      <w:r>
        <w:rPr>
          <w:rFonts w:ascii="Verdana" w:hAnsi="Verdana" w:cs="Verdana"/>
        </w:rPr>
        <w:t xml:space="preserve"> «Электронные деньги» 2001 С. Афонина</w:t>
      </w:r>
      <w:r>
        <w:t>.</w:t>
      </w:r>
    </w:p>
  </w:footnote>
  <w:footnote w:id="10">
    <w:p w:rsidR="00752F4A" w:rsidRDefault="00C06989" w:rsidP="00C06989">
      <w:pPr>
        <w:pStyle w:val="a4"/>
      </w:pPr>
      <w:r>
        <w:rPr>
          <w:rStyle w:val="a6"/>
        </w:rPr>
        <w:t>11</w:t>
      </w:r>
      <w:r>
        <w:t xml:space="preserve"> </w:t>
      </w:r>
      <w:r>
        <w:rPr>
          <w:rFonts w:ascii="Verdana" w:hAnsi="Verdana" w:cs="Verdana"/>
        </w:rPr>
        <w:t>http: //</w:t>
      </w:r>
      <w:r>
        <w:rPr>
          <w:rFonts w:ascii="Verdana" w:hAnsi="Verdana" w:cs="Verdana"/>
          <w:lang w:val="en-US"/>
        </w:rPr>
        <w:t>www</w:t>
      </w:r>
      <w:r>
        <w:rPr>
          <w:rFonts w:ascii="Verdana" w:hAnsi="Verdana" w:cs="Verdana"/>
        </w:rPr>
        <w:t>.</w:t>
      </w:r>
      <w:r>
        <w:rPr>
          <w:rFonts w:ascii="Verdana" w:hAnsi="Verdana" w:cs="Verdana"/>
          <w:lang w:val="en-US"/>
        </w:rPr>
        <w:t>bbin</w:t>
      </w:r>
      <w:r>
        <w:rPr>
          <w:rFonts w:ascii="Verdana" w:hAnsi="Verdana" w:cs="Verdana"/>
        </w:rPr>
        <w:t>.</w:t>
      </w:r>
      <w:r>
        <w:rPr>
          <w:rFonts w:ascii="Verdana" w:hAnsi="Verdana" w:cs="Verdana"/>
          <w:lang w:val="en-US"/>
        </w:rPr>
        <w:t>ru</w:t>
      </w:r>
      <w:r>
        <w:rPr>
          <w:rFonts w:ascii="Verdana" w:hAnsi="Verdana" w:cs="Verdana"/>
        </w:rPr>
        <w:t>/</w:t>
      </w:r>
      <w:r>
        <w:rPr>
          <w:rFonts w:ascii="Verdana" w:hAnsi="Verdana" w:cs="Verdana"/>
          <w:lang w:val="en-US"/>
        </w:rPr>
        <w:t>cards</w:t>
      </w:r>
    </w:p>
  </w:footnote>
  <w:footnote w:id="11">
    <w:p w:rsidR="00752F4A" w:rsidRDefault="00C06989" w:rsidP="00C06989">
      <w:pPr>
        <w:pStyle w:val="a4"/>
      </w:pPr>
      <w:r>
        <w:rPr>
          <w:rStyle w:val="a6"/>
        </w:rPr>
        <w:t>12</w:t>
      </w:r>
      <w:r>
        <w:t xml:space="preserve"> </w:t>
      </w:r>
      <w:r>
        <w:rPr>
          <w:rFonts w:ascii="Verdana" w:hAnsi="Verdana" w:cs="Verdana"/>
        </w:rPr>
        <w:t>Финансист №8-9/2001: «Золото в системе цифровых денег» В. Бауэр.</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06989"/>
    <w:rsid w:val="00002B5A"/>
    <w:rsid w:val="0010437E"/>
    <w:rsid w:val="002200E8"/>
    <w:rsid w:val="005225BF"/>
    <w:rsid w:val="0058756F"/>
    <w:rsid w:val="00616072"/>
    <w:rsid w:val="006A5004"/>
    <w:rsid w:val="00710178"/>
    <w:rsid w:val="007477B4"/>
    <w:rsid w:val="00752F4A"/>
    <w:rsid w:val="007B623D"/>
    <w:rsid w:val="008B35EE"/>
    <w:rsid w:val="00905CC1"/>
    <w:rsid w:val="009370C0"/>
    <w:rsid w:val="009A4A59"/>
    <w:rsid w:val="00A51973"/>
    <w:rsid w:val="00B42C45"/>
    <w:rsid w:val="00B47B6A"/>
    <w:rsid w:val="00C0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434EAA57-B3B7-4325-B677-B5E47A11E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6989"/>
    <w:pPr>
      <w:autoSpaceDE w:val="0"/>
      <w:autoSpaceDN w:val="0"/>
    </w:pPr>
    <w:rPr>
      <w:rFonts w:ascii="Arial" w:hAnsi="Arial" w:cs="Arial"/>
      <w:spacing w:val="20"/>
      <w:kern w:val="24"/>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C06989"/>
    <w:rPr>
      <w:color w:val="0000FF"/>
      <w:u w:val="single"/>
    </w:rPr>
  </w:style>
  <w:style w:type="paragraph" w:styleId="a4">
    <w:name w:val="footnote text"/>
    <w:basedOn w:val="a"/>
    <w:link w:val="a5"/>
    <w:uiPriority w:val="99"/>
    <w:semiHidden/>
    <w:rsid w:val="00C06989"/>
    <w:pPr>
      <w:autoSpaceDE/>
      <w:autoSpaceDN/>
    </w:pPr>
    <w:rPr>
      <w:rFonts w:ascii="Times New Roman" w:hAnsi="Times New Roman" w:cs="Times New Roman"/>
      <w:spacing w:val="0"/>
      <w:kern w:val="0"/>
      <w:sz w:val="20"/>
      <w:szCs w:val="20"/>
    </w:rPr>
  </w:style>
  <w:style w:type="character" w:customStyle="1" w:styleId="a5">
    <w:name w:val="Текст сноски Знак"/>
    <w:link w:val="a4"/>
    <w:uiPriority w:val="99"/>
    <w:semiHidden/>
    <w:rPr>
      <w:rFonts w:ascii="Arial" w:hAnsi="Arial" w:cs="Arial"/>
      <w:spacing w:val="20"/>
      <w:kern w:val="24"/>
      <w:sz w:val="20"/>
      <w:szCs w:val="20"/>
    </w:rPr>
  </w:style>
  <w:style w:type="character" w:styleId="a6">
    <w:name w:val="footnote reference"/>
    <w:uiPriority w:val="99"/>
    <w:semiHidden/>
    <w:rsid w:val="00C0698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10914</Words>
  <Characters>62213</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Электронные деньги</vt:lpstr>
    </vt:vector>
  </TitlesOfParts>
  <Company>Home</Company>
  <LinksUpToDate>false</LinksUpToDate>
  <CharactersWithSpaces>72982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Электронные деньги</dc:title>
  <dc:subject/>
  <dc:creator>User</dc:creator>
  <cp:keywords/>
  <dc:description/>
  <cp:lastModifiedBy>admin</cp:lastModifiedBy>
  <cp:revision>2</cp:revision>
  <dcterms:created xsi:type="dcterms:W3CDTF">2014-02-15T03:47:00Z</dcterms:created>
  <dcterms:modified xsi:type="dcterms:W3CDTF">2014-02-15T03:47:00Z</dcterms:modified>
</cp:coreProperties>
</file>