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993" w:rsidRPr="00F1111C" w:rsidRDefault="004B3993" w:rsidP="00F1111C">
      <w:pPr>
        <w:spacing w:line="360" w:lineRule="auto"/>
        <w:ind w:firstLine="720"/>
        <w:jc w:val="center"/>
        <w:outlineLvl w:val="0"/>
        <w:rPr>
          <w:caps/>
          <w:sz w:val="28"/>
          <w:szCs w:val="28"/>
        </w:rPr>
      </w:pPr>
      <w:bookmarkStart w:id="0" w:name="_Toc139985196"/>
      <w:r w:rsidRPr="00F1111C">
        <w:rPr>
          <w:caps/>
          <w:sz w:val="28"/>
          <w:szCs w:val="28"/>
        </w:rPr>
        <w:t>Предисловие</w:t>
      </w:r>
      <w:bookmarkEnd w:id="0"/>
    </w:p>
    <w:p w:rsidR="004B3993" w:rsidRPr="00F1111C" w:rsidRDefault="004B3993" w:rsidP="00F1111C">
      <w:pPr>
        <w:pStyle w:val="31"/>
        <w:spacing w:line="360" w:lineRule="auto"/>
        <w:ind w:firstLine="720"/>
        <w:rPr>
          <w:sz w:val="28"/>
          <w:szCs w:val="28"/>
        </w:rPr>
      </w:pPr>
    </w:p>
    <w:p w:rsidR="004B3993" w:rsidRPr="00F1111C" w:rsidRDefault="004B3993" w:rsidP="00F1111C">
      <w:pPr>
        <w:pStyle w:val="31"/>
        <w:spacing w:line="360" w:lineRule="auto"/>
        <w:ind w:firstLine="720"/>
        <w:rPr>
          <w:sz w:val="28"/>
          <w:szCs w:val="28"/>
        </w:rPr>
      </w:pPr>
      <w:r w:rsidRPr="00F1111C">
        <w:rPr>
          <w:sz w:val="28"/>
          <w:szCs w:val="28"/>
        </w:rPr>
        <w:t xml:space="preserve">Современное промышленное производство оказывает на окружающую среду (ОС) многообразное, часто негативное, воздействие. Это </w:t>
      </w:r>
      <w:r w:rsidRPr="00F1111C">
        <w:rPr>
          <w:sz w:val="28"/>
          <w:szCs w:val="28"/>
        </w:rPr>
        <w:sym w:font="Symbol" w:char="F02D"/>
      </w:r>
      <w:r w:rsidRPr="00F1111C">
        <w:rPr>
          <w:sz w:val="28"/>
          <w:szCs w:val="28"/>
        </w:rPr>
        <w:t xml:space="preserve"> загрязнение ОС вредными (токсичными) веществами, истощение ресурсов, изменение природных и возникновение техногенных ландшафтов.</w:t>
      </w:r>
    </w:p>
    <w:p w:rsidR="004B3993" w:rsidRPr="00F1111C" w:rsidRDefault="004B3993" w:rsidP="00F1111C">
      <w:pPr>
        <w:pStyle w:val="31"/>
        <w:spacing w:line="360" w:lineRule="auto"/>
        <w:ind w:firstLine="720"/>
        <w:rPr>
          <w:sz w:val="28"/>
          <w:szCs w:val="28"/>
        </w:rPr>
      </w:pPr>
      <w:r w:rsidRPr="00F1111C">
        <w:rPr>
          <w:sz w:val="28"/>
          <w:szCs w:val="28"/>
        </w:rPr>
        <w:t xml:space="preserve">В настоящем учебно-методическом пособии (далее по тексту </w:t>
      </w:r>
      <w:r w:rsidRPr="00F1111C">
        <w:rPr>
          <w:sz w:val="28"/>
          <w:szCs w:val="28"/>
        </w:rPr>
        <w:sym w:font="Symbol" w:char="F02D"/>
      </w:r>
      <w:r w:rsidRPr="00F1111C">
        <w:rPr>
          <w:sz w:val="28"/>
          <w:szCs w:val="28"/>
        </w:rPr>
        <w:t xml:space="preserve"> пособие) рассматриваются вопросы, связанные с загрязнением атмосферы (работа № 1), водных объектов (работа № 2), а также классификация твердых отходов предприятия по опасности для ОС с целью размещения их на полигонах твердых бытовых отходов (работа № 3).</w:t>
      </w:r>
    </w:p>
    <w:p w:rsidR="004B3993" w:rsidRPr="00F1111C" w:rsidRDefault="004B3993" w:rsidP="00F1111C">
      <w:pPr>
        <w:pStyle w:val="31"/>
        <w:spacing w:line="360" w:lineRule="auto"/>
        <w:ind w:firstLine="720"/>
        <w:rPr>
          <w:sz w:val="28"/>
          <w:szCs w:val="28"/>
        </w:rPr>
      </w:pPr>
      <w:r w:rsidRPr="00F1111C">
        <w:rPr>
          <w:sz w:val="28"/>
          <w:szCs w:val="28"/>
        </w:rPr>
        <w:t xml:space="preserve">Наиболее значимым показателем, характеризующим воздействие вредных (опасных) химических веществ на окружающую среду вообще и человека, в частности, является предельно допустимая концентрация этих веществ </w:t>
      </w:r>
      <w:r w:rsidRPr="00F1111C">
        <w:rPr>
          <w:sz w:val="28"/>
          <w:szCs w:val="28"/>
        </w:rPr>
        <w:sym w:font="Symbol" w:char="F02D"/>
      </w:r>
      <w:r w:rsidRPr="00F1111C">
        <w:rPr>
          <w:sz w:val="28"/>
          <w:szCs w:val="28"/>
        </w:rPr>
        <w:t xml:space="preserve"> ПДК.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  <w:vertAlign w:val="subscript"/>
        </w:rPr>
      </w:pPr>
      <w:r w:rsidRPr="00F1111C">
        <w:rPr>
          <w:sz w:val="28"/>
          <w:szCs w:val="28"/>
        </w:rPr>
        <w:t xml:space="preserve">При нормировании концентраций загрязняющих веществ в атмосфере используют принцип лимитирующего показателя. Согласно этому принципу, нормирование проводится по наиболее чувствительному показателю. Например, если запах вещества ощущается при концентрациях, которые не оказывают вредного влияния на человека и окружающую среду, то нормирование производят с учетом порога обонятельного ощущения. Если же вещество оказывает на объекты окружающей среды (животных или растения) вредное действие в меньших концентрациях, чем на организм человека, то при нормировании исходят из действия вещества на природные объекты. В настоящее время для оценки загрязнения воздуха населенных мест используют два норматива. Первый </w:t>
      </w:r>
      <w:r w:rsidRPr="00F1111C">
        <w:rPr>
          <w:sz w:val="28"/>
          <w:szCs w:val="28"/>
        </w:rPr>
        <w:sym w:font="Symbol" w:char="F02D"/>
      </w:r>
      <w:r w:rsidRPr="00F1111C">
        <w:rPr>
          <w:sz w:val="28"/>
          <w:szCs w:val="28"/>
        </w:rPr>
        <w:t xml:space="preserve"> разовая или максимально разовая предельно допустимая концентрация – ПДК</w:t>
      </w:r>
      <w:r w:rsidRPr="00F1111C">
        <w:rPr>
          <w:sz w:val="28"/>
          <w:szCs w:val="28"/>
          <w:vertAlign w:val="subscript"/>
        </w:rPr>
        <w:t>мр</w:t>
      </w:r>
      <w:r w:rsidRPr="00F1111C">
        <w:rPr>
          <w:sz w:val="28"/>
          <w:szCs w:val="28"/>
        </w:rPr>
        <w:t xml:space="preserve">, второй – среднесуточная концентрация </w:t>
      </w:r>
      <w:r w:rsidRPr="00F1111C">
        <w:rPr>
          <w:i/>
          <w:sz w:val="28"/>
          <w:szCs w:val="28"/>
        </w:rPr>
        <w:t>–</w:t>
      </w:r>
      <w:r w:rsidRPr="00F1111C">
        <w:rPr>
          <w:sz w:val="28"/>
          <w:szCs w:val="28"/>
        </w:rPr>
        <w:t xml:space="preserve"> ПДК</w:t>
      </w:r>
      <w:r w:rsidRPr="00F1111C">
        <w:rPr>
          <w:sz w:val="28"/>
          <w:szCs w:val="28"/>
          <w:vertAlign w:val="subscript"/>
        </w:rPr>
        <w:t xml:space="preserve">сс. 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Максимально разовая ПДК устанавливается с целью предупреждения рефлекторных реакций у человека (ощущение запаха, изменение биоэлектрической активности головного мозга, световой чувствительности глаз и др.) при кратковременном воздействии атмосферных загрязнений (до 20 мин), а среднесуточная</w:t>
      </w:r>
      <w:r w:rsidRPr="00F1111C">
        <w:rPr>
          <w:sz w:val="28"/>
          <w:szCs w:val="28"/>
          <w:vertAlign w:val="subscript"/>
        </w:rPr>
        <w:t xml:space="preserve"> </w:t>
      </w:r>
      <w:r w:rsidRPr="00F1111C">
        <w:rPr>
          <w:sz w:val="28"/>
          <w:szCs w:val="28"/>
        </w:rPr>
        <w:t>– с целью предупреждения их токсического влияния (общетоксического, канцерогенного, мутагенного и др.).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Величина максимально разовой ПДК устанавливается в результате экспериментов с людьми, кратковременно (от 5 до 20 мин) вдыхающими воздух, содержащий малые концентрации изучаемого вещества. Содержание этих веществ в воздухе безопасно для человека. В качестве критерия предельно допустимого содержания загрязняющих веществ в атмосфере принимается, прежде всего, отсутствие запаха. Минимальная ощутимая концентрация для наиболее чувствительных лиц принимается за пороговую концентрацию по обонятельному ощущению. Установив ее, приступают к поиску пороговых и подпороговых концентраций по рефлекторным реакциям.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Для установления среднесуточных ПДК проводят токсикологический эксперимент на животных. Результаты, полученные в хроническом опыте на животных, переносят на людей.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Наряду с ПДК веществ в воздухе населенных мест (ПДК</w:t>
      </w:r>
      <w:r w:rsidRPr="00F1111C">
        <w:rPr>
          <w:sz w:val="28"/>
          <w:szCs w:val="28"/>
          <w:vertAlign w:val="subscript"/>
        </w:rPr>
        <w:t>нм</w:t>
      </w:r>
      <w:r w:rsidRPr="00F1111C">
        <w:rPr>
          <w:sz w:val="28"/>
          <w:szCs w:val="28"/>
        </w:rPr>
        <w:t xml:space="preserve">) токсичность (опасность) вещества может быть охарактеризована ПДК вредного вещества в воздухе рабочей зоны </w:t>
      </w:r>
      <w:r w:rsidRPr="00F1111C">
        <w:rPr>
          <w:sz w:val="28"/>
          <w:szCs w:val="28"/>
        </w:rPr>
        <w:sym w:font="Symbol" w:char="F02D"/>
      </w:r>
      <w:r w:rsidRPr="00F1111C">
        <w:rPr>
          <w:sz w:val="28"/>
          <w:szCs w:val="28"/>
        </w:rPr>
        <w:t xml:space="preserve"> ПДК</w:t>
      </w:r>
      <w:r w:rsidRPr="00F1111C">
        <w:rPr>
          <w:sz w:val="28"/>
          <w:szCs w:val="28"/>
          <w:vertAlign w:val="subscript"/>
        </w:rPr>
        <w:t>рз</w:t>
      </w:r>
      <w:r w:rsidRPr="00F1111C">
        <w:rPr>
          <w:sz w:val="28"/>
          <w:szCs w:val="28"/>
        </w:rPr>
        <w:t>. Это такая концентрация вещества, которая при ежедневной (кроме выходных) работе в пределах 8 часов или при другой продолжительности, но не более 41 ч в неделю в течение всего рабочего стажа не может вызвать заболевания или отклонений в состоянии здоровья, обнаруживаемых современными методами исследования, в процессе работы или в отдаленные сроки жизни настоящего и последующих поколений.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 xml:space="preserve">Вредные (опасные) вещества, содержащиеся в сточных водах промышленных предприятий и организаций (например, научно-исследовательских), сбрасываемых в водные объекты (водоемы), так же могут быть охарактеризованы ПДК (допустимыми концентрациями </w:t>
      </w:r>
      <w:r w:rsidRPr="00F1111C">
        <w:rPr>
          <w:sz w:val="28"/>
          <w:szCs w:val="28"/>
        </w:rPr>
        <w:sym w:font="Symbol" w:char="F02D"/>
      </w:r>
      <w:r w:rsidRPr="00F1111C">
        <w:rPr>
          <w:sz w:val="28"/>
          <w:szCs w:val="28"/>
        </w:rPr>
        <w:t xml:space="preserve"> ДК). Среди этих показателей рассмотрим два: 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 xml:space="preserve"> и ПДК</w:t>
      </w:r>
      <w:r w:rsidRPr="00F1111C">
        <w:rPr>
          <w:sz w:val="28"/>
          <w:szCs w:val="28"/>
          <w:vertAlign w:val="subscript"/>
        </w:rPr>
        <w:t>рх</w:t>
      </w:r>
      <w:r w:rsidRPr="00F1111C">
        <w:rPr>
          <w:sz w:val="28"/>
          <w:szCs w:val="28"/>
        </w:rPr>
        <w:t xml:space="preserve">. 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 xml:space="preserve"> (мг/л) </w:t>
      </w:r>
      <w:r w:rsidRPr="00F1111C">
        <w:rPr>
          <w:sz w:val="28"/>
          <w:szCs w:val="28"/>
        </w:rPr>
        <w:sym w:font="Symbol" w:char="F02D"/>
      </w:r>
      <w:r w:rsidRPr="00F1111C">
        <w:rPr>
          <w:sz w:val="28"/>
          <w:szCs w:val="28"/>
        </w:rPr>
        <w:t xml:space="preserve"> предельно допустимая концентрация вещества в воде водных объектов хозяйственно-питьевого и культурно-бытового водопользования – концентрация химического вещества в воде, при превышении которой вода становится непригодной для этого вида водопользования.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ПДК</w:t>
      </w:r>
      <w:r w:rsidRPr="00F1111C">
        <w:rPr>
          <w:sz w:val="28"/>
          <w:szCs w:val="28"/>
          <w:vertAlign w:val="subscript"/>
        </w:rPr>
        <w:t>рх</w:t>
      </w:r>
      <w:r w:rsidRPr="00F1111C">
        <w:rPr>
          <w:sz w:val="28"/>
          <w:szCs w:val="28"/>
        </w:rPr>
        <w:t xml:space="preserve"> (мг/л) </w:t>
      </w:r>
      <w:r w:rsidRPr="00F1111C">
        <w:rPr>
          <w:sz w:val="28"/>
          <w:szCs w:val="28"/>
        </w:rPr>
        <w:sym w:font="Symbol" w:char="F02D"/>
      </w:r>
      <w:r w:rsidRPr="00F1111C">
        <w:rPr>
          <w:sz w:val="28"/>
          <w:szCs w:val="28"/>
        </w:rPr>
        <w:t xml:space="preserve"> предельно допустимая концентрация вещества в воде водных объектов рыбохозяйственного назначения – экспериментально установленное максимально допустимое содержание в водном объекте вредного вещества, при котором не возникают последствия, снижающие его рыбохозяйственную ценность или затрудняющие его рыбохозяйственное использование.</w:t>
      </w:r>
    </w:p>
    <w:p w:rsidR="004B3993" w:rsidRPr="00F1111C" w:rsidRDefault="004B3993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Из остальных многочисленных показателей, характеризующих отрицательное воздействие химических веществ на объекты окружающей среды (и, в первую очередь, человека) рассмотрим только показатели, используемые в работе № 3, которые приведены ниже:</w:t>
      </w:r>
    </w:p>
    <w:p w:rsidR="004B3993" w:rsidRPr="00F1111C" w:rsidRDefault="004B3993" w:rsidP="00F1111C">
      <w:pPr>
        <w:pStyle w:val="23"/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ПДК</w:t>
      </w:r>
      <w:r w:rsidRPr="00F1111C">
        <w:rPr>
          <w:sz w:val="28"/>
          <w:szCs w:val="28"/>
          <w:vertAlign w:val="subscript"/>
        </w:rPr>
        <w:t>п</w:t>
      </w:r>
      <w:r w:rsidRPr="00F1111C">
        <w:rPr>
          <w:sz w:val="28"/>
          <w:szCs w:val="28"/>
        </w:rPr>
        <w:t>, мг/кг – предельно допустимое количество вещества в почве – количество, которое не должно вызывать прямого или косвенного отрицательного влияния на соприкасающиеся с почвой окружающую среду, здоровье человека, а также самоочищающую способность почвы;</w:t>
      </w:r>
    </w:p>
    <w:p w:rsidR="004B3993" w:rsidRPr="00F1111C" w:rsidRDefault="004B3993" w:rsidP="00F1111C">
      <w:pPr>
        <w:pStyle w:val="23"/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ОБУВ – ориентировочно безопасный уровень воздействия – временный гигиенический норматив содержания вредных веществ в воздухе рабочей зоны, атмосферном воздухе населенных мест, воде водоемов, продуктах питания. Используется для целей предупредительного санитарного надзора. Устанавливается расчетным методом по физико-химическим свойствам для химических веществ, на которые ПДК не установлены и обосновывается каждые 2 года для воздуха и каждые 3 года – для воды;</w:t>
      </w:r>
    </w:p>
    <w:p w:rsidR="004B3993" w:rsidRPr="00F1111C" w:rsidRDefault="004B3993" w:rsidP="00F1111C">
      <w:pPr>
        <w:pStyle w:val="23"/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LD</w:t>
      </w:r>
      <w:r w:rsidRPr="00F1111C">
        <w:rPr>
          <w:sz w:val="28"/>
          <w:szCs w:val="28"/>
          <w:vertAlign w:val="subscript"/>
        </w:rPr>
        <w:t>50</w:t>
      </w:r>
      <w:r w:rsidRPr="00F1111C">
        <w:rPr>
          <w:sz w:val="28"/>
          <w:szCs w:val="28"/>
        </w:rPr>
        <w:t xml:space="preserve">, мг/кг – средняя смертельная доза компонента в миллиграммах действующего вещества на </w:t>
      </w:r>
      <w:smartTag w:uri="urn:schemas-microsoft-com:office:smarttags" w:element="metricconverter">
        <w:smartTagPr>
          <w:attr w:name="ProductID" w:val="1 кг"/>
        </w:smartTagPr>
        <w:r w:rsidRPr="00F1111C">
          <w:rPr>
            <w:sz w:val="28"/>
            <w:szCs w:val="28"/>
          </w:rPr>
          <w:t>1 кг</w:t>
        </w:r>
      </w:smartTag>
      <w:r w:rsidRPr="00F1111C">
        <w:rPr>
          <w:sz w:val="28"/>
          <w:szCs w:val="28"/>
        </w:rPr>
        <w:t xml:space="preserve"> живого веса, вызывающая гибель 50% подопытных животных при однократном </w:t>
      </w:r>
      <w:r w:rsidRPr="00F1111C">
        <w:rPr>
          <w:i/>
          <w:sz w:val="28"/>
          <w:szCs w:val="28"/>
        </w:rPr>
        <w:t>пероральном</w:t>
      </w:r>
      <w:r w:rsidRPr="00F1111C">
        <w:rPr>
          <w:sz w:val="28"/>
          <w:szCs w:val="28"/>
        </w:rPr>
        <w:t xml:space="preserve"> введении в унифицированных условиях;</w:t>
      </w:r>
    </w:p>
    <w:p w:rsidR="004B3993" w:rsidRPr="00F1111C" w:rsidRDefault="004B3993" w:rsidP="00F1111C">
      <w:pPr>
        <w:pStyle w:val="23"/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LD</w:t>
      </w:r>
      <w:r w:rsidRPr="00F1111C">
        <w:rPr>
          <w:sz w:val="28"/>
          <w:szCs w:val="28"/>
          <w:vertAlign w:val="subscript"/>
        </w:rPr>
        <w:t>50</w:t>
      </w:r>
      <w:r w:rsidRPr="00F1111C">
        <w:rPr>
          <w:sz w:val="28"/>
          <w:szCs w:val="28"/>
          <w:vertAlign w:val="superscript"/>
        </w:rPr>
        <w:t>к</w:t>
      </w:r>
      <w:r w:rsidRPr="00F1111C">
        <w:rPr>
          <w:sz w:val="28"/>
          <w:szCs w:val="28"/>
        </w:rPr>
        <w:t xml:space="preserve">, мг/кг – средняя смертельная доза компонента в миллиграммах действующего вещества на </w:t>
      </w:r>
      <w:smartTag w:uri="urn:schemas-microsoft-com:office:smarttags" w:element="metricconverter">
        <w:smartTagPr>
          <w:attr w:name="ProductID" w:val="1 кг"/>
        </w:smartTagPr>
        <w:r w:rsidRPr="00F1111C">
          <w:rPr>
            <w:sz w:val="28"/>
            <w:szCs w:val="28"/>
          </w:rPr>
          <w:t>1 кг</w:t>
        </w:r>
      </w:smartTag>
      <w:r w:rsidRPr="00F1111C">
        <w:rPr>
          <w:sz w:val="28"/>
          <w:szCs w:val="28"/>
        </w:rPr>
        <w:t xml:space="preserve"> живого веса, вызывающая гибель 50% подопытных животных при однократном </w:t>
      </w:r>
      <w:r w:rsidRPr="00F1111C">
        <w:rPr>
          <w:i/>
          <w:sz w:val="28"/>
          <w:szCs w:val="28"/>
        </w:rPr>
        <w:t>нанесении на кожу</w:t>
      </w:r>
      <w:r w:rsidRPr="00F1111C">
        <w:rPr>
          <w:sz w:val="28"/>
          <w:szCs w:val="28"/>
        </w:rPr>
        <w:t xml:space="preserve"> в унифицированных условиях;</w:t>
      </w:r>
    </w:p>
    <w:p w:rsidR="004B3993" w:rsidRPr="00F1111C" w:rsidRDefault="004B3993" w:rsidP="00F1111C">
      <w:pPr>
        <w:pStyle w:val="23"/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LC</w:t>
      </w:r>
      <w:r w:rsidRPr="00F1111C">
        <w:rPr>
          <w:sz w:val="28"/>
          <w:szCs w:val="28"/>
          <w:vertAlign w:val="subscript"/>
        </w:rPr>
        <w:t>50</w:t>
      </w:r>
      <w:r w:rsidRPr="00F1111C">
        <w:rPr>
          <w:sz w:val="28"/>
          <w:szCs w:val="28"/>
        </w:rPr>
        <w:t>, мг/м</w:t>
      </w:r>
      <w:r w:rsidRPr="00F1111C">
        <w:rPr>
          <w:sz w:val="28"/>
          <w:szCs w:val="28"/>
          <w:vertAlign w:val="superscript"/>
        </w:rPr>
        <w:t>3</w:t>
      </w:r>
      <w:r w:rsidRPr="00F1111C">
        <w:rPr>
          <w:sz w:val="28"/>
          <w:szCs w:val="28"/>
        </w:rPr>
        <w:t xml:space="preserve"> – средняя смертельная концентрация вещества, вызывающая гибель 50% подопытных животных при </w:t>
      </w:r>
      <w:r w:rsidRPr="00F1111C">
        <w:rPr>
          <w:i/>
          <w:sz w:val="28"/>
          <w:szCs w:val="28"/>
        </w:rPr>
        <w:t xml:space="preserve">ингаляционном </w:t>
      </w:r>
      <w:r w:rsidRPr="00F1111C">
        <w:rPr>
          <w:sz w:val="28"/>
          <w:szCs w:val="28"/>
        </w:rPr>
        <w:t>поступлении действующего вещества в виде паров или аэрозолей в унифицированных условиях.</w:t>
      </w:r>
    </w:p>
    <w:p w:rsidR="002B0A78" w:rsidRPr="00F1111C" w:rsidRDefault="004B3993" w:rsidP="00F1111C">
      <w:pPr>
        <w:spacing w:line="360" w:lineRule="auto"/>
        <w:ind w:firstLine="720"/>
        <w:jc w:val="center"/>
        <w:outlineLvl w:val="0"/>
        <w:rPr>
          <w:sz w:val="28"/>
          <w:szCs w:val="28"/>
        </w:rPr>
      </w:pPr>
      <w:r w:rsidRPr="00F1111C">
        <w:rPr>
          <w:sz w:val="28"/>
          <w:szCs w:val="28"/>
        </w:rPr>
        <w:br w:type="page"/>
      </w:r>
      <w:bookmarkStart w:id="1" w:name="_Toc139985206"/>
      <w:r w:rsidR="002B0A78" w:rsidRPr="00F1111C">
        <w:rPr>
          <w:sz w:val="28"/>
          <w:szCs w:val="28"/>
        </w:rPr>
        <w:t>Курсовая работа № 2</w:t>
      </w:r>
      <w:bookmarkEnd w:id="1"/>
    </w:p>
    <w:p w:rsidR="002B0A78" w:rsidRPr="00F1111C" w:rsidRDefault="002B0A78" w:rsidP="00F1111C">
      <w:pPr>
        <w:spacing w:line="360" w:lineRule="auto"/>
        <w:ind w:firstLine="720"/>
        <w:rPr>
          <w:sz w:val="28"/>
          <w:szCs w:val="28"/>
        </w:rPr>
      </w:pPr>
    </w:p>
    <w:p w:rsidR="002B0A78" w:rsidRPr="00F1111C" w:rsidRDefault="002B0A78" w:rsidP="00F1111C">
      <w:pPr>
        <w:spacing w:line="360" w:lineRule="auto"/>
        <w:ind w:firstLine="720"/>
        <w:jc w:val="center"/>
        <w:outlineLvl w:val="0"/>
        <w:rPr>
          <w:sz w:val="28"/>
          <w:szCs w:val="28"/>
        </w:rPr>
      </w:pPr>
      <w:bookmarkStart w:id="2" w:name="_Toc139985207"/>
      <w:r w:rsidRPr="00F1111C">
        <w:rPr>
          <w:sz w:val="28"/>
          <w:szCs w:val="28"/>
        </w:rPr>
        <w:t>Определение показателей допустимого воздействия сточных вод предприятий на водные объекты</w:t>
      </w:r>
      <w:bookmarkEnd w:id="2"/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</w:p>
    <w:p w:rsidR="002B0A78" w:rsidRPr="00F1111C" w:rsidRDefault="002B0A78" w:rsidP="00F1111C">
      <w:pPr>
        <w:spacing w:line="360" w:lineRule="auto"/>
        <w:ind w:firstLine="720"/>
        <w:outlineLvl w:val="1"/>
        <w:rPr>
          <w:sz w:val="28"/>
          <w:szCs w:val="28"/>
        </w:rPr>
      </w:pPr>
      <w:bookmarkStart w:id="3" w:name="_Toc139985208"/>
      <w:r w:rsidRPr="00F1111C">
        <w:rPr>
          <w:sz w:val="28"/>
          <w:szCs w:val="28"/>
        </w:rPr>
        <w:t>Цель работы</w:t>
      </w:r>
      <w:bookmarkEnd w:id="3"/>
    </w:p>
    <w:p w:rsidR="002B0A78" w:rsidRPr="00F1111C" w:rsidRDefault="002B0A78" w:rsidP="00F1111C">
      <w:pPr>
        <w:numPr>
          <w:ilvl w:val="0"/>
          <w:numId w:val="2"/>
        </w:numPr>
        <w:tabs>
          <w:tab w:val="clear" w:pos="36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Определить предельно допустимый сброс загрязняющих веществ со сточными водами предприятий в водоемы хозяйственно-питьевого и культурно-бытового видов водопользования.</w:t>
      </w:r>
    </w:p>
    <w:p w:rsidR="002B0A78" w:rsidRPr="00F1111C" w:rsidRDefault="002B0A78" w:rsidP="00F1111C">
      <w:pPr>
        <w:pStyle w:val="af1"/>
        <w:numPr>
          <w:ilvl w:val="0"/>
          <w:numId w:val="2"/>
        </w:numPr>
        <w:tabs>
          <w:tab w:val="clear" w:pos="360"/>
          <w:tab w:val="num" w:pos="0"/>
        </w:tabs>
        <w:spacing w:line="360" w:lineRule="auto"/>
        <w:ind w:left="0" w:firstLine="720"/>
        <w:jc w:val="both"/>
        <w:rPr>
          <w:b w:val="0"/>
          <w:szCs w:val="28"/>
        </w:rPr>
      </w:pPr>
      <w:r w:rsidRPr="00F1111C">
        <w:rPr>
          <w:b w:val="0"/>
          <w:szCs w:val="28"/>
        </w:rPr>
        <w:t xml:space="preserve">Определить приведенный объем сточных вод. </w:t>
      </w:r>
    </w:p>
    <w:p w:rsidR="002B0A78" w:rsidRDefault="00F1111C" w:rsidP="00F1111C">
      <w:pPr>
        <w:spacing w:line="360" w:lineRule="auto"/>
        <w:ind w:firstLine="720"/>
        <w:jc w:val="center"/>
        <w:outlineLvl w:val="1"/>
        <w:rPr>
          <w:sz w:val="28"/>
          <w:szCs w:val="28"/>
          <w:lang w:val="en-US"/>
        </w:rPr>
      </w:pPr>
      <w:bookmarkStart w:id="4" w:name="_Toc139985209"/>
      <w:r>
        <w:rPr>
          <w:sz w:val="28"/>
          <w:szCs w:val="28"/>
        </w:rPr>
        <w:br w:type="page"/>
      </w:r>
      <w:r w:rsidR="002B0A78" w:rsidRPr="00F1111C">
        <w:rPr>
          <w:sz w:val="28"/>
          <w:szCs w:val="28"/>
        </w:rPr>
        <w:t>Введение</w:t>
      </w:r>
      <w:bookmarkEnd w:id="4"/>
    </w:p>
    <w:p w:rsidR="00F1111C" w:rsidRPr="00F1111C" w:rsidRDefault="00F1111C" w:rsidP="00F1111C">
      <w:pPr>
        <w:spacing w:line="360" w:lineRule="auto"/>
        <w:ind w:firstLine="720"/>
        <w:jc w:val="center"/>
        <w:outlineLvl w:val="1"/>
        <w:rPr>
          <w:sz w:val="28"/>
          <w:szCs w:val="28"/>
          <w:lang w:val="en-US"/>
        </w:rPr>
      </w:pP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 xml:space="preserve">Общий порядок разработки, рассмотрения и согласования нормативов допустимого воздействия сточных вод (СВ) на водные объекты определяет Водный кодекс РФ [11] 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В соответствии с ним для каждого источника загрязнения вод</w:t>
      </w:r>
      <w:r w:rsidRPr="00F1111C">
        <w:rPr>
          <w:rStyle w:val="af5"/>
          <w:sz w:val="28"/>
          <w:szCs w:val="28"/>
        </w:rPr>
        <w:footnoteReference w:id="1"/>
      </w:r>
      <w:r w:rsidRPr="00F1111C">
        <w:rPr>
          <w:sz w:val="28"/>
          <w:szCs w:val="28"/>
        </w:rPr>
        <w:t xml:space="preserve"> устанавливают предельно допустимый сброс (ПДС) загрязняющего вещества в поверхностные водные объекты. При этом учитываются ассимилирующая способность водного объекта</w:t>
      </w:r>
      <w:r w:rsidRPr="00F1111C">
        <w:rPr>
          <w:rStyle w:val="af5"/>
          <w:sz w:val="28"/>
          <w:szCs w:val="28"/>
        </w:rPr>
        <w:footnoteReference w:id="2"/>
      </w:r>
      <w:r w:rsidRPr="00F1111C">
        <w:rPr>
          <w:sz w:val="28"/>
          <w:szCs w:val="28"/>
        </w:rPr>
        <w:t xml:space="preserve"> и оптимальное распределение массы сбрасываемых веществ между водопользователями, сбрасывающими сточные воды.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Выпуск в водоемы СВ должен, как правило, осуществляться таким образом, чтобы была обеспечена возможность наиболее полного смешения СВ с водой водоема в месте их выпуска (применение специальных конструкций и режимов).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Условия сброса СВ в водоем принято оценивать с учетом их влияния на качество воды у ближайшего пункта водопользования, т.е. в контрольном створе</w:t>
      </w:r>
      <w:r w:rsidRPr="00F1111C">
        <w:rPr>
          <w:rStyle w:val="af5"/>
          <w:sz w:val="28"/>
          <w:szCs w:val="28"/>
        </w:rPr>
        <w:footnoteReference w:id="3"/>
      </w:r>
      <w:r w:rsidRPr="00F1111C">
        <w:rPr>
          <w:sz w:val="28"/>
          <w:szCs w:val="28"/>
        </w:rPr>
        <w:t xml:space="preserve"> (рис.2.1).</w:t>
      </w:r>
    </w:p>
    <w:p w:rsidR="002B0A78" w:rsidRPr="00F1111C" w:rsidRDefault="003F5814" w:rsidP="00F1111C">
      <w:pPr>
        <w:pStyle w:val="23"/>
        <w:spacing w:after="0" w:line="360" w:lineRule="auto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75pt;height:231pt" fillcolor="window">
            <v:imagedata r:id="rId7" o:title="" chromakey="#fefefe"/>
          </v:shape>
        </w:pict>
      </w:r>
    </w:p>
    <w:p w:rsidR="002B0A78" w:rsidRPr="00F1111C" w:rsidRDefault="002B0A78" w:rsidP="00F1111C">
      <w:pPr>
        <w:pStyle w:val="23"/>
        <w:spacing w:after="0" w:line="360" w:lineRule="auto"/>
        <w:ind w:firstLine="720"/>
        <w:rPr>
          <w:sz w:val="28"/>
          <w:szCs w:val="28"/>
        </w:rPr>
      </w:pPr>
      <w:r w:rsidRPr="00F1111C">
        <w:rPr>
          <w:sz w:val="28"/>
          <w:szCs w:val="28"/>
        </w:rPr>
        <w:t>Рис. 2.1. Ситуационная блок-схема сброса сточных вод в водоемы хозяйственно-питьевого и культурно-бытового видов водопользования. Пояснения в тексте</w:t>
      </w:r>
    </w:p>
    <w:p w:rsidR="002B0A78" w:rsidRPr="00F1111C" w:rsidRDefault="002B0A78" w:rsidP="00F1111C">
      <w:pPr>
        <w:pStyle w:val="23"/>
        <w:spacing w:after="0" w:line="360" w:lineRule="auto"/>
        <w:ind w:firstLine="720"/>
        <w:rPr>
          <w:sz w:val="28"/>
          <w:szCs w:val="28"/>
        </w:rPr>
      </w:pP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i/>
          <w:sz w:val="28"/>
          <w:szCs w:val="28"/>
        </w:rPr>
        <w:t xml:space="preserve">Предельно допустимый сброс (ПДС, г/с) </w:t>
      </w:r>
      <w:r w:rsidRPr="00F1111C">
        <w:rPr>
          <w:sz w:val="28"/>
          <w:szCs w:val="28"/>
        </w:rPr>
        <w:t xml:space="preserve">загрязняющего вещества в водный объект – это масса вещества в сточных водах, максимально допустимая к отведению с установленным режимом в данном пункте водного объекта в единицу времени с целью обеспечения норм качества воды в контрольном створе или на участке водного объекта с учетом вида водопользования. 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Нормативы ПДС устанавливаются исходя из условия недопустимости превышения ПДК вредных веществ в водных объектах. Нормативы ПДК вредных веществ в водных объектах и СВ устанавливаются исходя из условий целевого использования водного объекта</w:t>
      </w:r>
      <w:r w:rsidRPr="00F1111C">
        <w:rPr>
          <w:rStyle w:val="af5"/>
          <w:sz w:val="28"/>
          <w:szCs w:val="28"/>
        </w:rPr>
        <w:footnoteReference w:id="4"/>
      </w:r>
      <w:r w:rsidRPr="00F1111C">
        <w:rPr>
          <w:sz w:val="28"/>
          <w:szCs w:val="28"/>
        </w:rPr>
        <w:t>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В соответствии с санитарными требованиями дополнительно рассчитываются максимальная допустимая предельная концентрация взвешенных веществ в СВ и температура СВ, при которой в пункте водопользования летняя температура речной воды не должна повышаться в результате спуска СВ более, чем на 3</w:t>
      </w:r>
      <w:r w:rsidRPr="00F1111C">
        <w:rPr>
          <w:sz w:val="28"/>
          <w:szCs w:val="28"/>
        </w:rPr>
        <w:sym w:font="Symbol" w:char="F0B0"/>
      </w:r>
      <w:r w:rsidRPr="00F1111C">
        <w:rPr>
          <w:sz w:val="28"/>
          <w:szCs w:val="28"/>
        </w:rPr>
        <w:t>С.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В данной работе расчет ПДС осуществляется для консервативных веществ</w:t>
      </w:r>
      <w:r w:rsidRPr="00F1111C">
        <w:rPr>
          <w:rStyle w:val="af5"/>
          <w:sz w:val="28"/>
          <w:szCs w:val="28"/>
        </w:rPr>
        <w:footnoteReference w:id="5"/>
      </w:r>
      <w:r w:rsidRPr="00F1111C">
        <w:rPr>
          <w:sz w:val="28"/>
          <w:szCs w:val="28"/>
        </w:rPr>
        <w:t xml:space="preserve"> по санитарно-токсикологическому показателю вредности</w:t>
      </w:r>
      <w:r w:rsidRPr="00F1111C">
        <w:rPr>
          <w:rStyle w:val="af5"/>
          <w:sz w:val="28"/>
          <w:szCs w:val="28"/>
        </w:rPr>
        <w:footnoteReference w:id="6"/>
      </w:r>
      <w:r w:rsidRPr="00F1111C">
        <w:rPr>
          <w:sz w:val="28"/>
          <w:szCs w:val="28"/>
        </w:rPr>
        <w:t xml:space="preserve"> для водоемов, относящихся к хозяйственно-питьевому и культурно-бытовому</w:t>
      </w:r>
      <w:r w:rsidRPr="00F1111C">
        <w:rPr>
          <w:rStyle w:val="af5"/>
          <w:sz w:val="28"/>
          <w:szCs w:val="28"/>
        </w:rPr>
        <w:footnoteReference w:id="7"/>
      </w:r>
      <w:r w:rsidRPr="00F1111C">
        <w:rPr>
          <w:sz w:val="28"/>
          <w:szCs w:val="28"/>
        </w:rPr>
        <w:t xml:space="preserve"> видам водопользования.</w:t>
      </w:r>
    </w:p>
    <w:p w:rsidR="002B0A78" w:rsidRPr="00F1111C" w:rsidRDefault="00F1111C" w:rsidP="00F1111C">
      <w:pPr>
        <w:spacing w:line="360" w:lineRule="auto"/>
        <w:ind w:firstLine="720"/>
        <w:jc w:val="center"/>
        <w:outlineLvl w:val="1"/>
        <w:rPr>
          <w:sz w:val="28"/>
          <w:szCs w:val="28"/>
        </w:rPr>
      </w:pPr>
      <w:bookmarkStart w:id="5" w:name="_Toc139985210"/>
      <w:r>
        <w:rPr>
          <w:sz w:val="28"/>
          <w:szCs w:val="28"/>
        </w:rPr>
        <w:br w:type="page"/>
      </w:r>
      <w:r w:rsidR="002B0A78" w:rsidRPr="00F1111C">
        <w:rPr>
          <w:sz w:val="28"/>
          <w:szCs w:val="28"/>
        </w:rPr>
        <w:t>2.1. Определение предельно допустимых сбросов</w:t>
      </w:r>
      <w:bookmarkEnd w:id="5"/>
    </w:p>
    <w:p w:rsidR="002B0A78" w:rsidRPr="00F1111C" w:rsidRDefault="002B0A78" w:rsidP="00F1111C">
      <w:pPr>
        <w:spacing w:line="360" w:lineRule="auto"/>
        <w:ind w:firstLine="720"/>
        <w:jc w:val="center"/>
        <w:rPr>
          <w:sz w:val="28"/>
          <w:szCs w:val="28"/>
        </w:rPr>
      </w:pP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ПДС (г/с) рассчитывается по формуле: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ПДС = С</w:t>
      </w:r>
      <w:r w:rsidRPr="00F1111C">
        <w:rPr>
          <w:sz w:val="28"/>
          <w:szCs w:val="28"/>
          <w:vertAlign w:val="subscript"/>
        </w:rPr>
        <w:t>пр</w:t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  <w:lang w:val="en-US"/>
        </w:rPr>
        <w:t>q</w:t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  <w:t>(2.1)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 xml:space="preserve">где </w:t>
      </w:r>
      <w:r w:rsidRPr="00F1111C">
        <w:rPr>
          <w:sz w:val="28"/>
          <w:szCs w:val="28"/>
        </w:rPr>
        <w:tab/>
        <w:t>С</w:t>
      </w:r>
      <w:r w:rsidRPr="00F1111C">
        <w:rPr>
          <w:sz w:val="28"/>
          <w:szCs w:val="28"/>
          <w:vertAlign w:val="subscript"/>
        </w:rPr>
        <w:t>пр</w:t>
      </w:r>
      <w:r w:rsidRPr="00F1111C">
        <w:rPr>
          <w:sz w:val="28"/>
          <w:szCs w:val="28"/>
        </w:rPr>
        <w:t xml:space="preserve"> – максимальная (предельная) концентрация, которая может быть допущена в СВ, или тот уровень очистки СВ, при котором после их смешения с водой водоема у первого (расчетного) пункта водопользования степень загрязнения не должна превышать предельно допустимую концентрацию данного загрязняющего вещества в воде водных объектов хозяйственно-питьевого и культурно-бытового водопользования (ПДК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 xml:space="preserve">), мг/л; 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q – разбавляемая сточная вода, поступающая в водоем, м</w:t>
      </w:r>
      <w:r w:rsidRPr="00F1111C">
        <w:rPr>
          <w:sz w:val="28"/>
          <w:szCs w:val="28"/>
          <w:vertAlign w:val="superscript"/>
        </w:rPr>
        <w:t>3</w:t>
      </w:r>
      <w:r w:rsidRPr="00F1111C">
        <w:rPr>
          <w:sz w:val="28"/>
          <w:szCs w:val="28"/>
        </w:rPr>
        <w:t>/с.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ab/>
        <w:t>Предельная концентрация С</w:t>
      </w:r>
      <w:r w:rsidRPr="00F1111C">
        <w:rPr>
          <w:sz w:val="28"/>
          <w:szCs w:val="28"/>
          <w:vertAlign w:val="subscript"/>
        </w:rPr>
        <w:t>пр</w:t>
      </w:r>
      <w:r w:rsidRPr="00F1111C">
        <w:rPr>
          <w:sz w:val="28"/>
          <w:szCs w:val="28"/>
        </w:rPr>
        <w:t xml:space="preserve"> (мг/л) для консервативных веществ рассчитывается по формуле:</w:t>
      </w:r>
    </w:p>
    <w:p w:rsidR="002B0A78" w:rsidRPr="00F1111C" w:rsidRDefault="002B0A78" w:rsidP="00F1111C">
      <w:pPr>
        <w:spacing w:line="360" w:lineRule="auto"/>
        <w:ind w:left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С</w:t>
      </w:r>
      <w:r w:rsidRPr="00F1111C">
        <w:rPr>
          <w:sz w:val="28"/>
          <w:szCs w:val="28"/>
          <w:vertAlign w:val="subscript"/>
        </w:rPr>
        <w:t>пр</w:t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</w:rPr>
        <w:sym w:font="Symbol" w:char="F0A3"/>
      </w:r>
      <w:r w:rsidRPr="00F1111C">
        <w:rPr>
          <w:sz w:val="28"/>
          <w:szCs w:val="28"/>
        </w:rPr>
        <w:t xml:space="preserve"> 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 xml:space="preserve"> + (</w:t>
      </w:r>
      <w:r w:rsidRPr="00F1111C">
        <w:rPr>
          <w:sz w:val="28"/>
          <w:szCs w:val="28"/>
          <w:lang w:val="en-US"/>
        </w:rPr>
        <w:t>n</w:t>
      </w:r>
      <w:r w:rsidRPr="00F1111C">
        <w:rPr>
          <w:sz w:val="28"/>
          <w:szCs w:val="28"/>
        </w:rPr>
        <w:t xml:space="preserve"> – 1) (ПДК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 xml:space="preserve"> – С</w:t>
      </w:r>
      <w:r w:rsidRPr="00F1111C">
        <w:rPr>
          <w:sz w:val="28"/>
          <w:szCs w:val="28"/>
          <w:vertAlign w:val="subscript"/>
        </w:rPr>
        <w:t>ф</w:t>
      </w:r>
      <w:r w:rsidRPr="00F1111C">
        <w:rPr>
          <w:sz w:val="28"/>
          <w:szCs w:val="28"/>
        </w:rPr>
        <w:t>)</w:t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  <w:t>(2.2)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 xml:space="preserve">где </w:t>
      </w:r>
      <w:r w:rsidRPr="00F1111C">
        <w:rPr>
          <w:sz w:val="28"/>
          <w:szCs w:val="28"/>
        </w:rPr>
        <w:tab/>
        <w:t>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 xml:space="preserve"> – предельно допустимая концентрация химического вещества в воде, мг/л;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С</w:t>
      </w:r>
      <w:r w:rsidRPr="00F1111C">
        <w:rPr>
          <w:sz w:val="28"/>
          <w:szCs w:val="28"/>
          <w:vertAlign w:val="subscript"/>
        </w:rPr>
        <w:t>ф</w:t>
      </w:r>
      <w:r w:rsidRPr="00F1111C">
        <w:rPr>
          <w:sz w:val="28"/>
          <w:szCs w:val="28"/>
        </w:rPr>
        <w:t xml:space="preserve"> – фоновая концентрация загрязняющего вещества в воде водоема до сброса СВ, мг/л;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n – реальная кратность разбавления СВ, которую в общем случае следует определять по формуле: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  <w:lang w:val="en-US"/>
        </w:rPr>
        <w:t>n</w:t>
      </w:r>
      <w:r w:rsidRPr="00F1111C">
        <w:rPr>
          <w:sz w:val="28"/>
          <w:szCs w:val="28"/>
        </w:rPr>
        <w:t xml:space="preserve"> = (</w:t>
      </w:r>
      <w:r w:rsidRPr="00F1111C">
        <w:rPr>
          <w:sz w:val="28"/>
          <w:szCs w:val="28"/>
        </w:rPr>
        <w:sym w:font="Symbol" w:char="F067"/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  <w:lang w:val="en-US"/>
        </w:rPr>
        <w:t>Q</w:t>
      </w:r>
      <w:r w:rsidRPr="00F1111C">
        <w:rPr>
          <w:sz w:val="28"/>
          <w:szCs w:val="28"/>
        </w:rPr>
        <w:t xml:space="preserve"> + </w:t>
      </w:r>
      <w:r w:rsidRPr="00F1111C">
        <w:rPr>
          <w:sz w:val="28"/>
          <w:szCs w:val="28"/>
          <w:lang w:val="en-US"/>
        </w:rPr>
        <w:t>q</w:t>
      </w:r>
      <w:r w:rsidRPr="00F1111C">
        <w:rPr>
          <w:sz w:val="28"/>
          <w:szCs w:val="28"/>
        </w:rPr>
        <w:t xml:space="preserve">) / </w:t>
      </w:r>
      <w:r w:rsidRPr="00F1111C">
        <w:rPr>
          <w:sz w:val="28"/>
          <w:szCs w:val="28"/>
          <w:lang w:val="en-US"/>
        </w:rPr>
        <w:t>q</w:t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="00F1111C">
        <w:rPr>
          <w:sz w:val="28"/>
          <w:szCs w:val="28"/>
          <w:lang w:val="en-US"/>
        </w:rPr>
        <w:tab/>
      </w:r>
      <w:r w:rsidRPr="00F1111C">
        <w:rPr>
          <w:sz w:val="28"/>
          <w:szCs w:val="28"/>
        </w:rPr>
        <w:t>(2.3)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где</w:t>
      </w:r>
      <w:r w:rsidRPr="00F1111C">
        <w:rPr>
          <w:sz w:val="28"/>
          <w:szCs w:val="28"/>
        </w:rPr>
        <w:tab/>
        <w:t>Q – разбавляющая вода водоема, м</w:t>
      </w:r>
      <w:r w:rsidRPr="00F1111C">
        <w:rPr>
          <w:sz w:val="28"/>
          <w:szCs w:val="28"/>
          <w:vertAlign w:val="superscript"/>
        </w:rPr>
        <w:t>3</w:t>
      </w:r>
      <w:r w:rsidRPr="00F1111C">
        <w:rPr>
          <w:sz w:val="28"/>
          <w:szCs w:val="28"/>
        </w:rPr>
        <w:t xml:space="preserve">/с; 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sym w:font="Symbol" w:char="F067"/>
      </w:r>
      <w:r w:rsidRPr="00F1111C">
        <w:rPr>
          <w:sz w:val="28"/>
          <w:szCs w:val="28"/>
        </w:rPr>
        <w:t xml:space="preserve"> – коэффициент, указывающий на степень полноты разбавления сточных вод в водоеме.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 xml:space="preserve">Для расчета </w:t>
      </w:r>
      <w:r w:rsidRPr="00F1111C">
        <w:rPr>
          <w:sz w:val="28"/>
          <w:szCs w:val="28"/>
        </w:rPr>
        <w:sym w:font="Symbol" w:char="F067"/>
      </w:r>
      <w:r w:rsidRPr="00F1111C">
        <w:rPr>
          <w:sz w:val="28"/>
          <w:szCs w:val="28"/>
        </w:rPr>
        <w:t xml:space="preserve"> используются коэффициенты, учитывающие условия выпуска СВ и гидрологические особенности водоема:</w:t>
      </w:r>
    </w:p>
    <w:p w:rsidR="002B0A78" w:rsidRPr="00F1111C" w:rsidRDefault="002B0A78" w:rsidP="00F1111C">
      <w:pPr>
        <w:spacing w:line="360" w:lineRule="auto"/>
        <w:ind w:left="720" w:firstLine="720"/>
        <w:rPr>
          <w:sz w:val="28"/>
          <w:szCs w:val="28"/>
        </w:rPr>
      </w:pPr>
      <w:r w:rsidRPr="00F1111C">
        <w:rPr>
          <w:sz w:val="28"/>
          <w:szCs w:val="28"/>
        </w:rPr>
        <w:sym w:font="Symbol" w:char="F067"/>
      </w:r>
      <w:r w:rsidRPr="00F1111C">
        <w:rPr>
          <w:sz w:val="28"/>
          <w:szCs w:val="28"/>
        </w:rPr>
        <w:t xml:space="preserve"> = [1 – </w:t>
      </w:r>
      <w:r w:rsidRPr="00F1111C">
        <w:rPr>
          <w:sz w:val="28"/>
          <w:szCs w:val="28"/>
        </w:rPr>
        <w:sym w:font="Symbol" w:char="F062"/>
      </w:r>
      <w:r w:rsidRPr="00F1111C">
        <w:rPr>
          <w:sz w:val="28"/>
          <w:szCs w:val="28"/>
        </w:rPr>
        <w:t>] / [1 + (</w:t>
      </w:r>
      <w:r w:rsidRPr="00F1111C">
        <w:rPr>
          <w:sz w:val="28"/>
          <w:szCs w:val="28"/>
        </w:rPr>
        <w:sym w:font="Symbol" w:char="F062"/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  <w:lang w:val="en-US"/>
        </w:rPr>
        <w:t>Q</w:t>
      </w:r>
      <w:r w:rsidRPr="00F1111C">
        <w:rPr>
          <w:sz w:val="28"/>
          <w:szCs w:val="28"/>
        </w:rPr>
        <w:t xml:space="preserve"> / </w:t>
      </w:r>
      <w:r w:rsidRPr="00F1111C">
        <w:rPr>
          <w:sz w:val="28"/>
          <w:szCs w:val="28"/>
          <w:lang w:val="en-US"/>
        </w:rPr>
        <w:t>q</w:t>
      </w:r>
      <w:r w:rsidR="00F1111C">
        <w:rPr>
          <w:sz w:val="28"/>
          <w:szCs w:val="28"/>
        </w:rPr>
        <w:t xml:space="preserve">)] </w:t>
      </w:r>
      <w:r w:rsidR="00F1111C">
        <w:rPr>
          <w:sz w:val="28"/>
          <w:szCs w:val="28"/>
        </w:rPr>
        <w:tab/>
      </w:r>
      <w:r w:rsid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  <w:t>(2.4)</w:t>
      </w:r>
    </w:p>
    <w:p w:rsidR="002B0A78" w:rsidRPr="00F1111C" w:rsidRDefault="002B0A78" w:rsidP="00F1111C">
      <w:pPr>
        <w:spacing w:line="360" w:lineRule="auto"/>
        <w:ind w:left="2880" w:firstLine="720"/>
        <w:jc w:val="both"/>
        <w:rPr>
          <w:sz w:val="28"/>
          <w:szCs w:val="28"/>
        </w:rPr>
      </w:pPr>
    </w:p>
    <w:p w:rsidR="002B0A78" w:rsidRPr="00F1111C" w:rsidRDefault="002B0A78" w:rsidP="00F1111C">
      <w:pPr>
        <w:spacing w:line="360" w:lineRule="auto"/>
        <w:ind w:left="720"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sym w:font="Symbol" w:char="F062"/>
      </w:r>
      <w:r w:rsidRPr="00F1111C">
        <w:rPr>
          <w:sz w:val="28"/>
          <w:szCs w:val="28"/>
        </w:rPr>
        <w:t xml:space="preserve"> = </w:t>
      </w:r>
      <w:r w:rsidRPr="00F1111C">
        <w:rPr>
          <w:i/>
          <w:sz w:val="28"/>
          <w:szCs w:val="28"/>
          <w:lang w:val="en-US"/>
        </w:rPr>
        <w:t>e</w:t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  <w:vertAlign w:val="superscript"/>
        </w:rPr>
        <w:t>–х</w:t>
      </w:r>
      <w:r w:rsidRPr="00F1111C">
        <w:rPr>
          <w:sz w:val="28"/>
          <w:szCs w:val="28"/>
        </w:rPr>
        <w:t xml:space="preserve">; х = </w:t>
      </w:r>
      <w:r w:rsidRPr="00F1111C">
        <w:rPr>
          <w:sz w:val="28"/>
          <w:szCs w:val="28"/>
        </w:rPr>
        <w:sym w:font="Symbol" w:char="F061"/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  <w:lang w:val="en-US"/>
        </w:rPr>
        <w:t>L</w:t>
      </w:r>
      <w:r w:rsidRPr="00F1111C">
        <w:rPr>
          <w:sz w:val="28"/>
          <w:szCs w:val="28"/>
          <w:vertAlign w:val="subscript"/>
        </w:rPr>
        <w:t>ф</w:t>
      </w:r>
      <w:r w:rsidRPr="00F1111C">
        <w:rPr>
          <w:sz w:val="28"/>
          <w:szCs w:val="28"/>
          <w:vertAlign w:val="superscript"/>
        </w:rPr>
        <w:t>1/3</w:t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</w:rPr>
        <w:tab/>
      </w:r>
      <w:r w:rsidR="00F1111C">
        <w:rPr>
          <w:sz w:val="28"/>
          <w:szCs w:val="28"/>
        </w:rPr>
        <w:tab/>
      </w:r>
      <w:r w:rsidR="00F1111C">
        <w:rPr>
          <w:sz w:val="28"/>
          <w:szCs w:val="28"/>
        </w:rPr>
        <w:tab/>
      </w:r>
      <w:r w:rsid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  <w:t>(2.5)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 xml:space="preserve">где </w:t>
      </w:r>
      <w:r w:rsidRPr="00F1111C">
        <w:rPr>
          <w:sz w:val="28"/>
          <w:szCs w:val="28"/>
        </w:rPr>
        <w:tab/>
      </w:r>
      <w:r w:rsidRPr="00F1111C">
        <w:rPr>
          <w:i/>
          <w:sz w:val="28"/>
          <w:szCs w:val="28"/>
        </w:rPr>
        <w:t>e</w:t>
      </w:r>
      <w:r w:rsidRPr="00F1111C">
        <w:rPr>
          <w:sz w:val="28"/>
          <w:szCs w:val="28"/>
        </w:rPr>
        <w:t xml:space="preserve"> – основание натурального логарифма, </w:t>
      </w:r>
      <w:r w:rsidRPr="00F1111C">
        <w:rPr>
          <w:i/>
          <w:sz w:val="28"/>
          <w:szCs w:val="28"/>
        </w:rPr>
        <w:t>e</w:t>
      </w:r>
      <w:r w:rsidRPr="00F1111C">
        <w:rPr>
          <w:sz w:val="28"/>
          <w:szCs w:val="28"/>
        </w:rPr>
        <w:t xml:space="preserve"> = 2,72; 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L</w:t>
      </w:r>
      <w:r w:rsidRPr="00F1111C">
        <w:rPr>
          <w:sz w:val="28"/>
          <w:szCs w:val="28"/>
          <w:vertAlign w:val="subscript"/>
        </w:rPr>
        <w:t>ф</w:t>
      </w:r>
      <w:r w:rsidRPr="00F1111C">
        <w:rPr>
          <w:sz w:val="28"/>
          <w:szCs w:val="28"/>
        </w:rPr>
        <w:t xml:space="preserve"> – расстояние до рассматриваемого створа по течению (по фарватеру) реки, м;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sym w:font="Symbol" w:char="F061"/>
      </w:r>
      <w:r w:rsidRPr="00F1111C">
        <w:rPr>
          <w:sz w:val="28"/>
          <w:szCs w:val="28"/>
        </w:rPr>
        <w:t xml:space="preserve"> – коэффициент, учитывающий гидрологические факторы смешения; рассчитывается по формуле: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sym w:font="Symbol" w:char="F061"/>
      </w:r>
      <w:r w:rsidRPr="00F1111C">
        <w:rPr>
          <w:sz w:val="28"/>
          <w:szCs w:val="28"/>
        </w:rPr>
        <w:t xml:space="preserve"> = </w:t>
      </w:r>
      <w:r w:rsidRPr="00F1111C">
        <w:rPr>
          <w:sz w:val="28"/>
          <w:szCs w:val="28"/>
        </w:rPr>
        <w:sym w:font="Symbol" w:char="F078"/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</w:rPr>
        <w:sym w:font="Symbol" w:char="F06A"/>
      </w:r>
      <w:r w:rsidRPr="00F1111C">
        <w:rPr>
          <w:sz w:val="28"/>
          <w:szCs w:val="28"/>
        </w:rPr>
        <w:t xml:space="preserve"> (D / q)</w:t>
      </w:r>
      <w:r w:rsidRPr="00F1111C">
        <w:rPr>
          <w:sz w:val="28"/>
          <w:szCs w:val="28"/>
          <w:vertAlign w:val="superscript"/>
        </w:rPr>
        <w:t>1/3</w:t>
      </w:r>
      <w:r w:rsidRPr="00F1111C">
        <w:rPr>
          <w:sz w:val="28"/>
          <w:szCs w:val="28"/>
        </w:rPr>
        <w:t xml:space="preserve"> </w:t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  <w:t>(2.6)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 xml:space="preserve">где </w:t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sym w:font="Symbol" w:char="F078"/>
      </w:r>
      <w:r w:rsidRPr="00F1111C">
        <w:rPr>
          <w:sz w:val="28"/>
          <w:szCs w:val="28"/>
        </w:rPr>
        <w:t xml:space="preserve"> – коэффициент, зависящий от места выпуска стока в реку: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sym w:font="Symbol" w:char="F078"/>
      </w:r>
      <w:r w:rsidRPr="00F1111C">
        <w:rPr>
          <w:sz w:val="28"/>
          <w:szCs w:val="28"/>
        </w:rPr>
        <w:t xml:space="preserve"> = 1,0 – при выпуске у берега; 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sym w:font="Symbol" w:char="F078"/>
      </w:r>
      <w:r w:rsidRPr="00F1111C">
        <w:rPr>
          <w:sz w:val="28"/>
          <w:szCs w:val="28"/>
        </w:rPr>
        <w:t xml:space="preserve"> = 1,5 – при выпуске в стрежне реки (глубокая часть речного русла с большой скоростью течения);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sym w:font="Symbol" w:char="F06A"/>
      </w:r>
      <w:r w:rsidRPr="00F1111C">
        <w:rPr>
          <w:sz w:val="28"/>
          <w:szCs w:val="28"/>
        </w:rPr>
        <w:t xml:space="preserve"> – коэффициент извилистости реки, который определяется по формуле: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sym w:font="Symbol" w:char="F06A"/>
      </w:r>
      <w:r w:rsidRPr="00F1111C">
        <w:rPr>
          <w:sz w:val="28"/>
          <w:szCs w:val="28"/>
        </w:rPr>
        <w:t xml:space="preserve"> = L</w:t>
      </w:r>
      <w:r w:rsidRPr="00F1111C">
        <w:rPr>
          <w:sz w:val="28"/>
          <w:szCs w:val="28"/>
          <w:vertAlign w:val="subscript"/>
        </w:rPr>
        <w:t>ф</w:t>
      </w:r>
      <w:r w:rsidRPr="00F1111C">
        <w:rPr>
          <w:sz w:val="28"/>
          <w:szCs w:val="28"/>
        </w:rPr>
        <w:t xml:space="preserve"> / L</w:t>
      </w:r>
      <w:r w:rsidRPr="00F1111C">
        <w:rPr>
          <w:sz w:val="28"/>
          <w:szCs w:val="28"/>
          <w:vertAlign w:val="subscript"/>
        </w:rPr>
        <w:t>пр</w:t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  <w:t>(2.7)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где</w:t>
      </w:r>
      <w:r w:rsidRPr="00F1111C">
        <w:rPr>
          <w:sz w:val="28"/>
          <w:szCs w:val="28"/>
        </w:rPr>
        <w:tab/>
        <w:t>L</w:t>
      </w:r>
      <w:r w:rsidRPr="00F1111C">
        <w:rPr>
          <w:sz w:val="28"/>
          <w:szCs w:val="28"/>
          <w:vertAlign w:val="subscript"/>
        </w:rPr>
        <w:t>ф</w:t>
      </w:r>
      <w:r w:rsidRPr="00F1111C">
        <w:rPr>
          <w:sz w:val="28"/>
          <w:szCs w:val="28"/>
        </w:rPr>
        <w:t xml:space="preserve"> – расстояние по фарватеру полной длины русла от выпуска СВ до рассматриваемого створа, м;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L</w:t>
      </w:r>
      <w:r w:rsidRPr="00F1111C">
        <w:rPr>
          <w:sz w:val="28"/>
          <w:szCs w:val="28"/>
          <w:vertAlign w:val="subscript"/>
        </w:rPr>
        <w:t>пр</w:t>
      </w:r>
      <w:r w:rsidRPr="00F1111C">
        <w:rPr>
          <w:sz w:val="28"/>
          <w:szCs w:val="28"/>
        </w:rPr>
        <w:t xml:space="preserve"> – расстояние между фарватером и рассматриваемым створом по прямой, м;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D – коэффициент турбулентной диффузии, определяемый по формуле:</w:t>
      </w:r>
    </w:p>
    <w:p w:rsidR="002B0A78" w:rsidRPr="00F1111C" w:rsidRDefault="002B0A78" w:rsidP="00F1111C">
      <w:pPr>
        <w:spacing w:line="360" w:lineRule="auto"/>
        <w:ind w:firstLine="720"/>
        <w:rPr>
          <w:sz w:val="28"/>
          <w:szCs w:val="28"/>
        </w:rPr>
      </w:pPr>
      <w:r w:rsidRPr="00F1111C">
        <w:rPr>
          <w:sz w:val="28"/>
          <w:szCs w:val="28"/>
        </w:rPr>
        <w:t>D = V</w:t>
      </w:r>
      <w:r w:rsidRPr="00F1111C">
        <w:rPr>
          <w:sz w:val="28"/>
          <w:szCs w:val="28"/>
          <w:vertAlign w:val="subscript"/>
        </w:rPr>
        <w:t>ср</w:t>
      </w:r>
      <w:r w:rsidRPr="00F1111C">
        <w:rPr>
          <w:sz w:val="28"/>
          <w:szCs w:val="28"/>
        </w:rPr>
        <w:t xml:space="preserve"> H</w:t>
      </w:r>
      <w:r w:rsidRPr="00F1111C">
        <w:rPr>
          <w:sz w:val="28"/>
          <w:szCs w:val="28"/>
          <w:vertAlign w:val="subscript"/>
        </w:rPr>
        <w:t>ср</w:t>
      </w:r>
      <w:r w:rsidRPr="00F1111C">
        <w:rPr>
          <w:sz w:val="28"/>
          <w:szCs w:val="28"/>
        </w:rPr>
        <w:t xml:space="preserve"> g / </w:t>
      </w:r>
      <w:smartTag w:uri="urn:schemas-microsoft-com:office:smarttags" w:element="metricconverter">
        <w:smartTagPr>
          <w:attr w:name="ProductID" w:val="2 m"/>
        </w:smartTagPr>
        <w:r w:rsidRPr="00F1111C">
          <w:rPr>
            <w:sz w:val="28"/>
            <w:szCs w:val="28"/>
          </w:rPr>
          <w:t>2 m</w:t>
        </w:r>
      </w:smartTag>
      <w:r w:rsidRPr="00F1111C">
        <w:rPr>
          <w:sz w:val="28"/>
          <w:szCs w:val="28"/>
        </w:rPr>
        <w:t xml:space="preserve"> C</w:t>
      </w:r>
      <w:r w:rsidRPr="00F1111C">
        <w:rPr>
          <w:sz w:val="28"/>
          <w:szCs w:val="28"/>
          <w:vertAlign w:val="subscript"/>
        </w:rPr>
        <w:t>ш</w:t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  <w:t>(2.8)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где</w:t>
      </w:r>
      <w:r w:rsidRPr="00F1111C">
        <w:rPr>
          <w:sz w:val="28"/>
          <w:szCs w:val="28"/>
        </w:rPr>
        <w:tab/>
        <w:t>V</w:t>
      </w:r>
      <w:r w:rsidRPr="00F1111C">
        <w:rPr>
          <w:sz w:val="28"/>
          <w:szCs w:val="28"/>
          <w:vertAlign w:val="subscript"/>
        </w:rPr>
        <w:t>ср</w:t>
      </w:r>
      <w:r w:rsidRPr="00F1111C">
        <w:rPr>
          <w:sz w:val="28"/>
          <w:szCs w:val="28"/>
        </w:rPr>
        <w:t xml:space="preserve"> – средняя скорость течения, м/с; 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H</w:t>
      </w:r>
      <w:r w:rsidRPr="00F1111C">
        <w:rPr>
          <w:sz w:val="28"/>
          <w:szCs w:val="28"/>
          <w:vertAlign w:val="subscript"/>
        </w:rPr>
        <w:t>ср</w:t>
      </w:r>
      <w:r w:rsidRPr="00F1111C">
        <w:rPr>
          <w:sz w:val="28"/>
          <w:szCs w:val="28"/>
        </w:rPr>
        <w:t xml:space="preserve"> – средняя глубина, м;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g – ускорение свободного падения, g = 9,81 м/с</w:t>
      </w:r>
      <w:r w:rsidRPr="00F1111C">
        <w:rPr>
          <w:sz w:val="28"/>
          <w:szCs w:val="28"/>
          <w:vertAlign w:val="superscript"/>
        </w:rPr>
        <w:t>2</w:t>
      </w:r>
      <w:r w:rsidRPr="00F1111C">
        <w:rPr>
          <w:sz w:val="28"/>
          <w:szCs w:val="28"/>
        </w:rPr>
        <w:t>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m – коэффициент Буссинского, м</w:t>
      </w:r>
      <w:r w:rsidRPr="00F1111C">
        <w:rPr>
          <w:sz w:val="28"/>
          <w:szCs w:val="28"/>
          <w:vertAlign w:val="superscript"/>
        </w:rPr>
        <w:t>1/2</w:t>
      </w:r>
      <w:r w:rsidRPr="00F1111C">
        <w:rPr>
          <w:sz w:val="28"/>
          <w:szCs w:val="28"/>
        </w:rPr>
        <w:t>/с; m = 24 м</w:t>
      </w:r>
      <w:r w:rsidRPr="00F1111C">
        <w:rPr>
          <w:sz w:val="28"/>
          <w:szCs w:val="28"/>
          <w:vertAlign w:val="superscript"/>
        </w:rPr>
        <w:t>1/2</w:t>
      </w:r>
      <w:r w:rsidRPr="00F1111C">
        <w:rPr>
          <w:sz w:val="28"/>
          <w:szCs w:val="28"/>
        </w:rPr>
        <w:t xml:space="preserve">/с; 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С</w:t>
      </w:r>
      <w:r w:rsidRPr="00F1111C">
        <w:rPr>
          <w:sz w:val="28"/>
          <w:szCs w:val="28"/>
          <w:vertAlign w:val="subscript"/>
        </w:rPr>
        <w:t>ш</w:t>
      </w:r>
      <w:r w:rsidRPr="00F1111C">
        <w:rPr>
          <w:sz w:val="28"/>
          <w:szCs w:val="28"/>
        </w:rPr>
        <w:t xml:space="preserve"> – коэффициент Шези, зависящий от типов водотоков и их характеристик, м</w:t>
      </w:r>
      <w:r w:rsidRPr="00F1111C">
        <w:rPr>
          <w:sz w:val="28"/>
          <w:szCs w:val="28"/>
          <w:vertAlign w:val="superscript"/>
        </w:rPr>
        <w:t>1/2</w:t>
      </w:r>
      <w:r w:rsidRPr="00F1111C">
        <w:rPr>
          <w:sz w:val="28"/>
          <w:szCs w:val="28"/>
        </w:rPr>
        <w:t>/с; принимает значения от 10 до 70.</w:t>
      </w:r>
    </w:p>
    <w:p w:rsidR="002B0A78" w:rsidRPr="00F1111C" w:rsidRDefault="00F1111C" w:rsidP="00F1111C">
      <w:pPr>
        <w:spacing w:line="360" w:lineRule="auto"/>
        <w:ind w:left="720" w:firstLine="720"/>
        <w:outlineLvl w:val="1"/>
        <w:rPr>
          <w:sz w:val="28"/>
          <w:szCs w:val="28"/>
        </w:rPr>
      </w:pPr>
      <w:bookmarkStart w:id="6" w:name="_Toc139985211"/>
      <w:r>
        <w:rPr>
          <w:sz w:val="28"/>
          <w:szCs w:val="28"/>
          <w:lang w:val="en-US"/>
        </w:rPr>
        <w:br w:type="page"/>
      </w:r>
      <w:r w:rsidR="002B0A78" w:rsidRPr="00F1111C">
        <w:rPr>
          <w:sz w:val="28"/>
          <w:szCs w:val="28"/>
        </w:rPr>
        <w:t>2.2. Определение приведенного объема сточных вод</w:t>
      </w:r>
      <w:bookmarkEnd w:id="6"/>
    </w:p>
    <w:p w:rsidR="002B0A78" w:rsidRPr="00F1111C" w:rsidRDefault="002B0A78" w:rsidP="00F1111C">
      <w:pPr>
        <w:spacing w:line="360" w:lineRule="auto"/>
        <w:ind w:firstLine="720"/>
        <w:rPr>
          <w:sz w:val="28"/>
          <w:szCs w:val="28"/>
        </w:rPr>
      </w:pP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Приведенный объем сточных вод П</w:t>
      </w:r>
      <w:r w:rsidRPr="00F1111C">
        <w:rPr>
          <w:sz w:val="28"/>
          <w:szCs w:val="28"/>
          <w:vertAlign w:val="subscript"/>
        </w:rPr>
        <w:t>q</w:t>
      </w:r>
      <w:r w:rsidRPr="00F1111C">
        <w:rPr>
          <w:sz w:val="28"/>
          <w:szCs w:val="28"/>
        </w:rPr>
        <w:t xml:space="preserve"> представляет собой условную величину, позволяющую в сопоставленном виде (путем разбавления до норм ПДК) выразить вредность загрязняющих ингредиентов, которые содержатся в СВ различных производств.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Расчет П</w:t>
      </w:r>
      <w:r w:rsidRPr="00F1111C">
        <w:rPr>
          <w:sz w:val="28"/>
          <w:szCs w:val="28"/>
          <w:vertAlign w:val="subscript"/>
        </w:rPr>
        <w:t>q</w:t>
      </w:r>
      <w:r w:rsidRPr="00F1111C">
        <w:rPr>
          <w:sz w:val="28"/>
          <w:szCs w:val="28"/>
        </w:rPr>
        <w:t xml:space="preserve"> (м</w:t>
      </w:r>
      <w:r w:rsidRPr="00F1111C">
        <w:rPr>
          <w:sz w:val="28"/>
          <w:szCs w:val="28"/>
          <w:vertAlign w:val="superscript"/>
        </w:rPr>
        <w:t>3</w:t>
      </w:r>
      <w:r w:rsidRPr="00F1111C">
        <w:rPr>
          <w:sz w:val="28"/>
          <w:szCs w:val="28"/>
        </w:rPr>
        <w:t>/с) ведется по формуле: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П</w:t>
      </w:r>
      <w:r w:rsidRPr="00F1111C">
        <w:rPr>
          <w:sz w:val="28"/>
          <w:szCs w:val="28"/>
          <w:vertAlign w:val="subscript"/>
          <w:lang w:val="en-US"/>
        </w:rPr>
        <w:t>q</w:t>
      </w:r>
      <w:r w:rsidRPr="00F1111C">
        <w:rPr>
          <w:sz w:val="28"/>
          <w:szCs w:val="28"/>
        </w:rPr>
        <w:t xml:space="preserve"> = (ПДС – </w:t>
      </w:r>
      <w:r w:rsidRPr="00F1111C">
        <w:rPr>
          <w:sz w:val="28"/>
          <w:szCs w:val="28"/>
          <w:lang w:val="en-US"/>
        </w:rPr>
        <w:t>q</w:t>
      </w:r>
      <w:r w:rsidRPr="00F1111C">
        <w:rPr>
          <w:sz w:val="28"/>
          <w:szCs w:val="28"/>
        </w:rPr>
        <w:t xml:space="preserve"> 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>) / 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</w:r>
      <w:r w:rsidRPr="00F1111C">
        <w:rPr>
          <w:sz w:val="28"/>
          <w:szCs w:val="28"/>
        </w:rPr>
        <w:tab/>
        <w:t>(2.9)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где</w:t>
      </w:r>
      <w:r w:rsidRPr="00F1111C">
        <w:rPr>
          <w:sz w:val="28"/>
          <w:szCs w:val="28"/>
        </w:rPr>
        <w:tab/>
        <w:t>ПДС – предельно допустимый сброс загрязняющего вещества, г/с;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q – разбавляемая сточная вода, поступающая в водоем, м</w:t>
      </w:r>
      <w:r w:rsidRPr="00F1111C">
        <w:rPr>
          <w:sz w:val="28"/>
          <w:szCs w:val="28"/>
          <w:vertAlign w:val="superscript"/>
        </w:rPr>
        <w:t>3</w:t>
      </w:r>
      <w:r w:rsidRPr="00F1111C">
        <w:rPr>
          <w:sz w:val="28"/>
          <w:szCs w:val="28"/>
        </w:rPr>
        <w:t>/с;</w:t>
      </w:r>
    </w:p>
    <w:p w:rsidR="002B0A78" w:rsidRDefault="002B0A78" w:rsidP="00F1111C">
      <w:pPr>
        <w:spacing w:line="360" w:lineRule="auto"/>
        <w:ind w:firstLine="720"/>
        <w:jc w:val="both"/>
        <w:rPr>
          <w:sz w:val="28"/>
          <w:szCs w:val="28"/>
          <w:lang w:val="en-US"/>
        </w:rPr>
      </w:pPr>
      <w:r w:rsidRPr="00F1111C">
        <w:rPr>
          <w:sz w:val="28"/>
          <w:szCs w:val="28"/>
        </w:rPr>
        <w:t>ПДК</w:t>
      </w:r>
      <w:r w:rsidRPr="00F1111C">
        <w:rPr>
          <w:sz w:val="28"/>
          <w:szCs w:val="28"/>
          <w:vertAlign w:val="subscript"/>
        </w:rPr>
        <w:t>в</w:t>
      </w:r>
      <w:r w:rsidRPr="00F1111C">
        <w:rPr>
          <w:sz w:val="28"/>
          <w:szCs w:val="28"/>
        </w:rPr>
        <w:t xml:space="preserve"> – предельно допустимая концентрация химического вещества в воде, мг/л.</w:t>
      </w:r>
    </w:p>
    <w:p w:rsidR="00F1111C" w:rsidRPr="00F1111C" w:rsidRDefault="00F1111C" w:rsidP="00F1111C">
      <w:pPr>
        <w:spacing w:line="360" w:lineRule="auto"/>
        <w:ind w:firstLine="720"/>
        <w:jc w:val="both"/>
        <w:rPr>
          <w:sz w:val="28"/>
          <w:szCs w:val="28"/>
          <w:lang w:val="en-US"/>
        </w:rPr>
      </w:pPr>
    </w:p>
    <w:p w:rsidR="002B0A78" w:rsidRDefault="002B0A78" w:rsidP="00F1111C">
      <w:pPr>
        <w:spacing w:line="360" w:lineRule="auto"/>
        <w:ind w:firstLine="720"/>
        <w:jc w:val="center"/>
        <w:outlineLvl w:val="1"/>
        <w:rPr>
          <w:sz w:val="28"/>
          <w:szCs w:val="28"/>
          <w:lang w:val="en-US"/>
        </w:rPr>
      </w:pPr>
      <w:bookmarkStart w:id="7" w:name="_Toc139985212"/>
      <w:r w:rsidRPr="00F1111C">
        <w:rPr>
          <w:sz w:val="28"/>
          <w:szCs w:val="28"/>
        </w:rPr>
        <w:t>Порядок выполнения работы</w:t>
      </w:r>
      <w:bookmarkEnd w:id="7"/>
    </w:p>
    <w:p w:rsidR="00F1111C" w:rsidRPr="00F1111C" w:rsidRDefault="00F1111C" w:rsidP="00F1111C">
      <w:pPr>
        <w:spacing w:line="360" w:lineRule="auto"/>
        <w:ind w:firstLine="720"/>
        <w:jc w:val="center"/>
        <w:outlineLvl w:val="1"/>
        <w:rPr>
          <w:sz w:val="28"/>
          <w:szCs w:val="28"/>
          <w:lang w:val="en-US"/>
        </w:rPr>
      </w:pPr>
    </w:p>
    <w:p w:rsidR="002B0A78" w:rsidRPr="00F1111C" w:rsidRDefault="002B0A78" w:rsidP="00F1111C">
      <w:pPr>
        <w:numPr>
          <w:ilvl w:val="0"/>
          <w:numId w:val="1"/>
        </w:num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Вариант задания соответствует № студента по кафедральному журналу.</w:t>
      </w:r>
    </w:p>
    <w:p w:rsidR="002B0A78" w:rsidRPr="00F1111C" w:rsidRDefault="002B0A78" w:rsidP="00F1111C">
      <w:pPr>
        <w:numPr>
          <w:ilvl w:val="0"/>
          <w:numId w:val="1"/>
        </w:num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Рассчитать ПДС (г/с) для каждого вещества, поступающего с СВ в водоем, по формуле 2.1.</w:t>
      </w:r>
    </w:p>
    <w:p w:rsidR="002B0A78" w:rsidRPr="00F1111C" w:rsidRDefault="002B0A78" w:rsidP="00F1111C">
      <w:pPr>
        <w:numPr>
          <w:ilvl w:val="0"/>
          <w:numId w:val="1"/>
        </w:num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Определить приведенный объем сточных вод П</w:t>
      </w:r>
      <w:r w:rsidRPr="00F1111C">
        <w:rPr>
          <w:sz w:val="28"/>
          <w:szCs w:val="28"/>
          <w:vertAlign w:val="subscript"/>
        </w:rPr>
        <w:t>q</w:t>
      </w:r>
      <w:r w:rsidRPr="00F1111C">
        <w:rPr>
          <w:sz w:val="28"/>
          <w:szCs w:val="28"/>
        </w:rPr>
        <w:t xml:space="preserve"> (м</w:t>
      </w:r>
      <w:r w:rsidRPr="00F1111C">
        <w:rPr>
          <w:sz w:val="28"/>
          <w:szCs w:val="28"/>
          <w:vertAlign w:val="superscript"/>
        </w:rPr>
        <w:t>3</w:t>
      </w:r>
      <w:r w:rsidRPr="00F1111C">
        <w:rPr>
          <w:sz w:val="28"/>
          <w:szCs w:val="28"/>
        </w:rPr>
        <w:t>/с) по формуле 2.9.</w:t>
      </w:r>
    </w:p>
    <w:p w:rsidR="002B0A78" w:rsidRPr="00F1111C" w:rsidRDefault="002B0A78" w:rsidP="00F1111C">
      <w:pPr>
        <w:numPr>
          <w:ilvl w:val="0"/>
          <w:numId w:val="1"/>
        </w:num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Ранжировать приведенные объемы по каждому загрязняющему веществу (П</w:t>
      </w:r>
      <w:r w:rsidRPr="00F1111C">
        <w:rPr>
          <w:sz w:val="28"/>
          <w:szCs w:val="28"/>
          <w:vertAlign w:val="subscript"/>
        </w:rPr>
        <w:t>q 1</w:t>
      </w:r>
      <w:r w:rsidRPr="00F1111C">
        <w:rPr>
          <w:sz w:val="28"/>
          <w:szCs w:val="28"/>
        </w:rPr>
        <w:t xml:space="preserve"> &gt; П</w:t>
      </w:r>
      <w:r w:rsidRPr="00F1111C">
        <w:rPr>
          <w:sz w:val="28"/>
          <w:szCs w:val="28"/>
          <w:vertAlign w:val="subscript"/>
        </w:rPr>
        <w:t>q 2</w:t>
      </w:r>
      <w:r w:rsidRPr="00F1111C">
        <w:rPr>
          <w:sz w:val="28"/>
          <w:szCs w:val="28"/>
        </w:rPr>
        <w:t xml:space="preserve"> &gt; П</w:t>
      </w:r>
      <w:r w:rsidRPr="00F1111C">
        <w:rPr>
          <w:sz w:val="28"/>
          <w:szCs w:val="28"/>
          <w:vertAlign w:val="subscript"/>
        </w:rPr>
        <w:t>q 3</w:t>
      </w:r>
      <w:r w:rsidRPr="00F1111C">
        <w:rPr>
          <w:sz w:val="28"/>
          <w:szCs w:val="28"/>
        </w:rPr>
        <w:t>) и сделать вывод о том, какое загрязняющее вещество является наиболее опасным.</w:t>
      </w:r>
    </w:p>
    <w:p w:rsidR="002B0A78" w:rsidRPr="00F1111C" w:rsidRDefault="002B0A78" w:rsidP="00F1111C">
      <w:pPr>
        <w:numPr>
          <w:ilvl w:val="0"/>
          <w:numId w:val="1"/>
        </w:num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Для получения зачета по работе № 2 студент письменно (или устно, по указанию преподавателя) отвечает на заданные ему контрольные вопросы.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</w:p>
    <w:p w:rsidR="002B0A78" w:rsidRPr="00F1111C" w:rsidRDefault="002B0A78" w:rsidP="00F1111C">
      <w:pPr>
        <w:spacing w:line="360" w:lineRule="auto"/>
        <w:ind w:firstLine="720"/>
        <w:outlineLvl w:val="1"/>
        <w:rPr>
          <w:sz w:val="28"/>
          <w:szCs w:val="28"/>
        </w:rPr>
      </w:pPr>
      <w:bookmarkStart w:id="8" w:name="_Toc139985213"/>
      <w:r w:rsidRPr="00F1111C">
        <w:rPr>
          <w:sz w:val="28"/>
          <w:szCs w:val="28"/>
        </w:rPr>
        <w:t>Задание к работе № 2</w:t>
      </w:r>
      <w:bookmarkEnd w:id="8"/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Вариант задания соответствует № студента по кафедральному журналу.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В сточных водах, сбрасываемых в реку, могут быть следующие металлы: медь, никель, цинк, свинец и хром. Осуществляются расчеты тех примесей, для которых указана фоновая концентрация.</w:t>
      </w:r>
    </w:p>
    <w:p w:rsidR="002B0A78" w:rsidRPr="00F1111C" w:rsidRDefault="002B0A78" w:rsidP="00F1111C">
      <w:pPr>
        <w:spacing w:line="360" w:lineRule="auto"/>
        <w:ind w:firstLine="720"/>
        <w:jc w:val="both"/>
        <w:rPr>
          <w:sz w:val="28"/>
          <w:szCs w:val="28"/>
        </w:rPr>
      </w:pPr>
      <w:r w:rsidRPr="00F1111C">
        <w:rPr>
          <w:sz w:val="28"/>
          <w:szCs w:val="28"/>
        </w:rPr>
        <w:t>Задание к работе представлено тремя таблицами: в таблице 2.1 приведены условия сброса сточных вод; в таблице 2.2 – характеристики рек; в таблице 2.3 – предельно допустимые концентрации металлов в воде водоемов хозяйственно-питьевого и культурно-бытового видов водопользования.</w:t>
      </w:r>
    </w:p>
    <w:p w:rsidR="002B0A78" w:rsidRPr="00F1111C" w:rsidRDefault="002B0A78" w:rsidP="00F1111C">
      <w:pPr>
        <w:spacing w:line="360" w:lineRule="auto"/>
        <w:ind w:firstLine="720"/>
        <w:jc w:val="right"/>
        <w:rPr>
          <w:sz w:val="28"/>
          <w:szCs w:val="28"/>
        </w:rPr>
      </w:pPr>
      <w:r w:rsidRPr="00F1111C">
        <w:rPr>
          <w:sz w:val="28"/>
          <w:szCs w:val="28"/>
        </w:rPr>
        <w:t>Таблица 2.1.</w:t>
      </w:r>
    </w:p>
    <w:p w:rsidR="002B0A78" w:rsidRPr="00F1111C" w:rsidRDefault="002B0A78" w:rsidP="00F1111C">
      <w:pPr>
        <w:spacing w:line="360" w:lineRule="auto"/>
        <w:ind w:firstLine="720"/>
        <w:jc w:val="center"/>
        <w:rPr>
          <w:sz w:val="28"/>
          <w:szCs w:val="28"/>
        </w:rPr>
      </w:pPr>
      <w:r w:rsidRPr="00F1111C">
        <w:rPr>
          <w:sz w:val="28"/>
          <w:szCs w:val="28"/>
        </w:rPr>
        <w:t>Исходные данные для выполнения работы №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"/>
        <w:gridCol w:w="1559"/>
        <w:gridCol w:w="552"/>
        <w:gridCol w:w="616"/>
        <w:gridCol w:w="616"/>
        <w:gridCol w:w="2232"/>
        <w:gridCol w:w="450"/>
        <w:gridCol w:w="416"/>
        <w:gridCol w:w="439"/>
        <w:gridCol w:w="1148"/>
        <w:gridCol w:w="1136"/>
      </w:tblGrid>
      <w:tr w:rsidR="002B0A78" w:rsidRPr="00F1111C" w:rsidTr="00427BEB">
        <w:trPr>
          <w:cantSplit/>
        </w:trPr>
        <w:tc>
          <w:tcPr>
            <w:tcW w:w="220" w:type="pct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№</w:t>
            </w:r>
          </w:p>
        </w:tc>
        <w:tc>
          <w:tcPr>
            <w:tcW w:w="1047" w:type="pct"/>
            <w:vMerge w:val="restart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Река</w:t>
            </w:r>
          </w:p>
        </w:tc>
        <w:tc>
          <w:tcPr>
            <w:tcW w:w="406" w:type="pct"/>
            <w:vMerge w:val="restart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q, м</w:t>
            </w:r>
            <w:r w:rsidRPr="00F1111C">
              <w:rPr>
                <w:sz w:val="20"/>
                <w:szCs w:val="20"/>
                <w:vertAlign w:val="superscript"/>
              </w:rPr>
              <w:t>3</w:t>
            </w:r>
            <w:r w:rsidRPr="00F1111C">
              <w:rPr>
                <w:sz w:val="20"/>
                <w:szCs w:val="20"/>
              </w:rPr>
              <w:t>/с</w:t>
            </w:r>
          </w:p>
        </w:tc>
        <w:tc>
          <w:tcPr>
            <w:tcW w:w="350" w:type="pct"/>
            <w:vMerge w:val="restart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L</w:t>
            </w:r>
            <w:r w:rsidRPr="00F1111C">
              <w:rPr>
                <w:sz w:val="20"/>
                <w:szCs w:val="20"/>
                <w:vertAlign w:val="subscript"/>
              </w:rPr>
              <w:t>ф</w:t>
            </w:r>
            <w:r w:rsidRPr="00F1111C">
              <w:rPr>
                <w:sz w:val="20"/>
                <w:szCs w:val="20"/>
              </w:rPr>
              <w:t>, м</w:t>
            </w:r>
          </w:p>
        </w:tc>
        <w:tc>
          <w:tcPr>
            <w:tcW w:w="378" w:type="pct"/>
            <w:vMerge w:val="restart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L</w:t>
            </w:r>
            <w:r w:rsidRPr="00F1111C">
              <w:rPr>
                <w:sz w:val="20"/>
                <w:szCs w:val="20"/>
                <w:vertAlign w:val="subscript"/>
              </w:rPr>
              <w:t>пр</w:t>
            </w:r>
            <w:r w:rsidRPr="00F1111C">
              <w:rPr>
                <w:sz w:val="20"/>
                <w:szCs w:val="20"/>
              </w:rPr>
              <w:t>, м</w:t>
            </w:r>
          </w:p>
        </w:tc>
        <w:tc>
          <w:tcPr>
            <w:tcW w:w="1441" w:type="pct"/>
            <w:vMerge w:val="restart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Характер выпуска СВ в реку</w:t>
            </w:r>
          </w:p>
        </w:tc>
        <w:tc>
          <w:tcPr>
            <w:tcW w:w="1159" w:type="pct"/>
            <w:gridSpan w:val="5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С</w:t>
            </w:r>
            <w:r w:rsidRPr="00F1111C">
              <w:rPr>
                <w:sz w:val="20"/>
                <w:szCs w:val="20"/>
                <w:vertAlign w:val="subscript"/>
              </w:rPr>
              <w:t>ф</w:t>
            </w:r>
            <w:r w:rsidRPr="00F1111C">
              <w:rPr>
                <w:sz w:val="20"/>
                <w:szCs w:val="20"/>
              </w:rPr>
              <w:t>, % от ПДК</w:t>
            </w:r>
            <w:r w:rsidRPr="00F1111C">
              <w:rPr>
                <w:sz w:val="20"/>
                <w:szCs w:val="20"/>
                <w:vertAlign w:val="subscript"/>
              </w:rPr>
              <w:t>в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  <w:vMerge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50" w:type="pct"/>
            <w:vMerge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pct"/>
            <w:vMerge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1" w:type="pct"/>
            <w:vMerge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3" w:type="pct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Cu</w:t>
            </w:r>
          </w:p>
        </w:tc>
        <w:tc>
          <w:tcPr>
            <w:tcW w:w="224" w:type="pct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  <w:lang w:val="en-US"/>
              </w:rPr>
              <w:t>Ni</w:t>
            </w:r>
          </w:p>
        </w:tc>
        <w:tc>
          <w:tcPr>
            <w:tcW w:w="237" w:type="pct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  <w:lang w:val="en-US"/>
              </w:rPr>
              <w:t>Zn</w:t>
            </w:r>
          </w:p>
        </w:tc>
        <w:tc>
          <w:tcPr>
            <w:tcW w:w="231" w:type="pct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  <w:lang w:val="en-US"/>
              </w:rPr>
              <w:t>Pb</w:t>
            </w:r>
          </w:p>
        </w:tc>
        <w:tc>
          <w:tcPr>
            <w:tcW w:w="224" w:type="pct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  <w:lang w:val="en-US"/>
              </w:rPr>
              <w:t>Cr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top w:val="double" w:sz="4" w:space="0" w:color="auto"/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Воронеж</w:t>
            </w:r>
          </w:p>
        </w:tc>
        <w:tc>
          <w:tcPr>
            <w:tcW w:w="406" w:type="pct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8</w:t>
            </w:r>
          </w:p>
        </w:tc>
        <w:tc>
          <w:tcPr>
            <w:tcW w:w="350" w:type="pct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9000</w:t>
            </w:r>
          </w:p>
        </w:tc>
        <w:tc>
          <w:tcPr>
            <w:tcW w:w="378" w:type="pct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7000</w:t>
            </w:r>
          </w:p>
        </w:tc>
        <w:tc>
          <w:tcPr>
            <w:tcW w:w="1441" w:type="pct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24" w:type="pct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10</w:t>
            </w:r>
          </w:p>
        </w:tc>
        <w:tc>
          <w:tcPr>
            <w:tcW w:w="237" w:type="pct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top w:val="double" w:sz="4" w:space="0" w:color="auto"/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7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8000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5000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Урал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8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5000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3700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18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7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4800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3500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18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8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река Кольского п-ва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8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7900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6700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7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7800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5500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10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Иртыш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8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4900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3700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16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7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4800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3500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16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12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Воронеж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7000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4000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6000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3000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 xml:space="preserve">в стрежне 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  <w:bottom w:val="nil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tcBorders>
              <w:bottom w:val="nil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Урал</w:t>
            </w:r>
          </w:p>
        </w:tc>
        <w:tc>
          <w:tcPr>
            <w:tcW w:w="406" w:type="pct"/>
            <w:tcBorders>
              <w:bottom w:val="nil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</w:t>
            </w:r>
          </w:p>
        </w:tc>
        <w:tc>
          <w:tcPr>
            <w:tcW w:w="350" w:type="pct"/>
            <w:tcBorders>
              <w:bottom w:val="nil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4400</w:t>
            </w:r>
          </w:p>
        </w:tc>
        <w:tc>
          <w:tcPr>
            <w:tcW w:w="378" w:type="pct"/>
            <w:tcBorders>
              <w:bottom w:val="nil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3400</w:t>
            </w:r>
          </w:p>
        </w:tc>
        <w:tc>
          <w:tcPr>
            <w:tcW w:w="1441" w:type="pct"/>
            <w:tcBorders>
              <w:bottom w:val="nil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  <w:tcBorders>
              <w:bottom w:val="nil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  <w:tcBorders>
              <w:bottom w:val="nil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  <w:tcBorders>
              <w:bottom w:val="nil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18</w:t>
            </w:r>
          </w:p>
        </w:tc>
        <w:tc>
          <w:tcPr>
            <w:tcW w:w="231" w:type="pct"/>
            <w:tcBorders>
              <w:bottom w:val="nil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bottom w:val="nil"/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2600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1300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18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река Кольского п-ва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6700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4800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4000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2200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10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Иртыш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4700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2400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3600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2300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16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Воронеж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5000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4000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Урал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3500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2200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18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8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4800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3200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18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8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река Кольского п-ва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6600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3300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5400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3200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10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Иртыш</w:t>
            </w: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3500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2100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 берега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16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12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</w:tr>
      <w:tr w:rsidR="002B0A78" w:rsidRPr="00F1111C" w:rsidTr="00427BEB">
        <w:trPr>
          <w:cantSplit/>
        </w:trPr>
        <w:tc>
          <w:tcPr>
            <w:tcW w:w="220" w:type="pct"/>
            <w:tcBorders>
              <w:left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vMerge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06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</w:t>
            </w:r>
          </w:p>
        </w:tc>
        <w:tc>
          <w:tcPr>
            <w:tcW w:w="350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3000</w:t>
            </w:r>
          </w:p>
        </w:tc>
        <w:tc>
          <w:tcPr>
            <w:tcW w:w="378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1800</w:t>
            </w:r>
          </w:p>
        </w:tc>
        <w:tc>
          <w:tcPr>
            <w:tcW w:w="1441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24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20</w:t>
            </w:r>
          </w:p>
        </w:tc>
        <w:tc>
          <w:tcPr>
            <w:tcW w:w="231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</w:t>
            </w:r>
          </w:p>
        </w:tc>
      </w:tr>
      <w:tr w:rsidR="002B0A78" w:rsidRPr="00F1111C" w:rsidTr="00427BEB">
        <w:tc>
          <w:tcPr>
            <w:tcW w:w="220" w:type="pct"/>
            <w:tcBorders>
              <w:left w:val="double" w:sz="4" w:space="0" w:color="auto"/>
              <w:bottom w:val="double" w:sz="4" w:space="0" w:color="auto"/>
            </w:tcBorders>
          </w:tcPr>
          <w:p w:rsidR="002B0A78" w:rsidRPr="00F1111C" w:rsidRDefault="002B0A78" w:rsidP="00F1111C">
            <w:pPr>
              <w:numPr>
                <w:ilvl w:val="0"/>
                <w:numId w:val="4"/>
              </w:num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1047" w:type="pct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Воронеж</w:t>
            </w:r>
          </w:p>
        </w:tc>
        <w:tc>
          <w:tcPr>
            <w:tcW w:w="406" w:type="pct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</w:t>
            </w:r>
          </w:p>
        </w:tc>
        <w:tc>
          <w:tcPr>
            <w:tcW w:w="350" w:type="pct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3000</w:t>
            </w:r>
          </w:p>
        </w:tc>
        <w:tc>
          <w:tcPr>
            <w:tcW w:w="378" w:type="pct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1000</w:t>
            </w:r>
          </w:p>
        </w:tc>
        <w:tc>
          <w:tcPr>
            <w:tcW w:w="1441" w:type="pct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 стрежне</w:t>
            </w:r>
          </w:p>
        </w:tc>
        <w:tc>
          <w:tcPr>
            <w:tcW w:w="243" w:type="pct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24" w:type="pct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37" w:type="pct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F1111C">
              <w:rPr>
                <w:sz w:val="20"/>
                <w:szCs w:val="20"/>
              </w:rPr>
              <w:t>15</w:t>
            </w:r>
          </w:p>
        </w:tc>
        <w:tc>
          <w:tcPr>
            <w:tcW w:w="231" w:type="pct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tcBorders>
              <w:bottom w:val="double" w:sz="4" w:space="0" w:color="auto"/>
              <w:right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</w:t>
            </w:r>
          </w:p>
        </w:tc>
      </w:tr>
    </w:tbl>
    <w:p w:rsidR="00F1111C" w:rsidRDefault="00F1111C" w:rsidP="00F1111C">
      <w:pPr>
        <w:spacing w:line="360" w:lineRule="auto"/>
        <w:ind w:firstLine="720"/>
        <w:jc w:val="right"/>
        <w:rPr>
          <w:sz w:val="28"/>
          <w:szCs w:val="28"/>
          <w:lang w:val="en-US"/>
        </w:rPr>
      </w:pPr>
    </w:p>
    <w:p w:rsidR="002B0A78" w:rsidRPr="00F1111C" w:rsidRDefault="002B0A78" w:rsidP="00F1111C">
      <w:pPr>
        <w:spacing w:line="360" w:lineRule="auto"/>
        <w:ind w:firstLine="720"/>
        <w:jc w:val="right"/>
        <w:rPr>
          <w:sz w:val="28"/>
          <w:szCs w:val="28"/>
        </w:rPr>
      </w:pPr>
      <w:r w:rsidRPr="00F1111C">
        <w:rPr>
          <w:sz w:val="28"/>
          <w:szCs w:val="28"/>
        </w:rPr>
        <w:t>Таблица 2.2.</w:t>
      </w:r>
    </w:p>
    <w:p w:rsidR="002B0A78" w:rsidRPr="00F1111C" w:rsidRDefault="002B0A78" w:rsidP="00F1111C">
      <w:pPr>
        <w:spacing w:line="360" w:lineRule="auto"/>
        <w:ind w:firstLine="720"/>
        <w:jc w:val="center"/>
        <w:rPr>
          <w:sz w:val="28"/>
          <w:szCs w:val="28"/>
        </w:rPr>
      </w:pPr>
      <w:r w:rsidRPr="00F1111C">
        <w:rPr>
          <w:sz w:val="28"/>
          <w:szCs w:val="28"/>
        </w:rPr>
        <w:t>Характеристики рек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1363"/>
        <w:gridCol w:w="2280"/>
        <w:gridCol w:w="1816"/>
        <w:gridCol w:w="1452"/>
      </w:tblGrid>
      <w:tr w:rsidR="002B0A78" w:rsidRPr="00F1111C" w:rsidTr="00427BEB">
        <w:tc>
          <w:tcPr>
            <w:tcW w:w="266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Река</w:t>
            </w:r>
          </w:p>
        </w:tc>
        <w:tc>
          <w:tcPr>
            <w:tcW w:w="133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коэффициент Шези С</w:t>
            </w:r>
            <w:r w:rsidRPr="00F1111C">
              <w:rPr>
                <w:sz w:val="20"/>
                <w:szCs w:val="20"/>
                <w:vertAlign w:val="subscript"/>
              </w:rPr>
              <w:t>Ш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расход разбавляющей воды водоема Q, м</w:t>
            </w:r>
            <w:r w:rsidRPr="00F1111C">
              <w:rPr>
                <w:sz w:val="20"/>
                <w:szCs w:val="20"/>
                <w:vertAlign w:val="superscript"/>
              </w:rPr>
              <w:t>3</w:t>
            </w:r>
            <w:r w:rsidRPr="00F1111C">
              <w:rPr>
                <w:sz w:val="20"/>
                <w:szCs w:val="20"/>
              </w:rPr>
              <w:t>/с;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средняя скорость течения реки V</w:t>
            </w:r>
            <w:r w:rsidRPr="00F1111C">
              <w:rPr>
                <w:sz w:val="20"/>
                <w:szCs w:val="20"/>
                <w:vertAlign w:val="subscript"/>
              </w:rPr>
              <w:t>ср</w:t>
            </w:r>
            <w:r w:rsidRPr="00F1111C">
              <w:rPr>
                <w:sz w:val="20"/>
                <w:szCs w:val="20"/>
              </w:rPr>
              <w:t>, м/с;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средняя глубина реки Н</w:t>
            </w:r>
            <w:r w:rsidRPr="00F1111C">
              <w:rPr>
                <w:sz w:val="20"/>
                <w:szCs w:val="20"/>
                <w:vertAlign w:val="subscript"/>
              </w:rPr>
              <w:t>ср</w:t>
            </w:r>
            <w:r w:rsidRPr="00F1111C">
              <w:rPr>
                <w:sz w:val="20"/>
                <w:szCs w:val="20"/>
              </w:rPr>
              <w:t>, м</w:t>
            </w:r>
          </w:p>
        </w:tc>
      </w:tr>
      <w:tr w:rsidR="002B0A78" w:rsidRPr="00F1111C" w:rsidTr="00427BEB">
        <w:tc>
          <w:tcPr>
            <w:tcW w:w="2660" w:type="dxa"/>
            <w:tcBorders>
              <w:top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Воронеж</w:t>
            </w:r>
          </w:p>
        </w:tc>
        <w:tc>
          <w:tcPr>
            <w:tcW w:w="1338" w:type="dxa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1,6</w:t>
            </w:r>
          </w:p>
        </w:tc>
        <w:tc>
          <w:tcPr>
            <w:tcW w:w="0" w:type="auto"/>
            <w:tcBorders>
              <w:top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1,8</w:t>
            </w:r>
          </w:p>
        </w:tc>
      </w:tr>
      <w:tr w:rsidR="002B0A78" w:rsidRPr="00F1111C" w:rsidTr="00427BEB">
        <w:tc>
          <w:tcPr>
            <w:tcW w:w="2660" w:type="dxa"/>
          </w:tcPr>
          <w:p w:rsidR="002B0A78" w:rsidRPr="00F1111C" w:rsidRDefault="002B0A78" w:rsidP="00F1111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Иртыш</w:t>
            </w:r>
          </w:p>
        </w:tc>
        <w:tc>
          <w:tcPr>
            <w:tcW w:w="1338" w:type="dxa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2,6</w:t>
            </w:r>
          </w:p>
        </w:tc>
        <w:tc>
          <w:tcPr>
            <w:tcW w:w="0" w:type="auto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1,4</w:t>
            </w:r>
          </w:p>
        </w:tc>
      </w:tr>
      <w:tr w:rsidR="002B0A78" w:rsidRPr="00F1111C" w:rsidTr="00427BEB">
        <w:tc>
          <w:tcPr>
            <w:tcW w:w="2660" w:type="dxa"/>
          </w:tcPr>
          <w:p w:rsidR="002B0A78" w:rsidRPr="00F1111C" w:rsidRDefault="002B0A78" w:rsidP="00F1111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Небольшая река Кольского полуострова</w:t>
            </w:r>
          </w:p>
        </w:tc>
        <w:tc>
          <w:tcPr>
            <w:tcW w:w="1338" w:type="dxa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3,0</w:t>
            </w:r>
          </w:p>
        </w:tc>
        <w:tc>
          <w:tcPr>
            <w:tcW w:w="0" w:type="auto"/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0,8</w:t>
            </w:r>
          </w:p>
        </w:tc>
      </w:tr>
      <w:tr w:rsidR="002B0A78" w:rsidRPr="00F1111C" w:rsidTr="00427BEB">
        <w:tc>
          <w:tcPr>
            <w:tcW w:w="2660" w:type="dxa"/>
            <w:tcBorders>
              <w:bottom w:val="double" w:sz="4" w:space="0" w:color="auto"/>
            </w:tcBorders>
          </w:tcPr>
          <w:p w:rsidR="002B0A78" w:rsidRPr="00F1111C" w:rsidRDefault="002B0A78" w:rsidP="00F1111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Урал</w:t>
            </w:r>
          </w:p>
        </w:tc>
        <w:tc>
          <w:tcPr>
            <w:tcW w:w="1338" w:type="dxa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2,2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:rsidR="002B0A78" w:rsidRPr="00F1111C" w:rsidRDefault="002B0A78" w:rsidP="00F1111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1,2</w:t>
            </w:r>
          </w:p>
        </w:tc>
      </w:tr>
    </w:tbl>
    <w:p w:rsidR="00F1111C" w:rsidRDefault="00F1111C" w:rsidP="00F1111C">
      <w:pPr>
        <w:pStyle w:val="ad"/>
        <w:spacing w:after="0" w:line="360" w:lineRule="auto"/>
        <w:ind w:firstLine="720"/>
        <w:jc w:val="right"/>
        <w:rPr>
          <w:sz w:val="28"/>
          <w:szCs w:val="28"/>
          <w:lang w:val="en-US"/>
        </w:rPr>
      </w:pPr>
    </w:p>
    <w:p w:rsidR="002B0A78" w:rsidRPr="00F1111C" w:rsidRDefault="002B0A78" w:rsidP="00F1111C">
      <w:pPr>
        <w:pStyle w:val="ad"/>
        <w:spacing w:after="0" w:line="360" w:lineRule="auto"/>
        <w:ind w:firstLine="720"/>
        <w:jc w:val="right"/>
        <w:rPr>
          <w:sz w:val="28"/>
          <w:szCs w:val="28"/>
        </w:rPr>
      </w:pPr>
      <w:r w:rsidRPr="00F1111C">
        <w:rPr>
          <w:sz w:val="28"/>
          <w:szCs w:val="28"/>
        </w:rPr>
        <w:t>Таблица 2.3.</w:t>
      </w:r>
    </w:p>
    <w:p w:rsidR="002B0A78" w:rsidRPr="00F1111C" w:rsidRDefault="002B0A78" w:rsidP="00F1111C">
      <w:pPr>
        <w:pStyle w:val="ad"/>
        <w:spacing w:after="0" w:line="360" w:lineRule="auto"/>
        <w:ind w:firstLine="720"/>
        <w:jc w:val="center"/>
        <w:rPr>
          <w:sz w:val="28"/>
          <w:szCs w:val="28"/>
        </w:rPr>
      </w:pPr>
      <w:r w:rsidRPr="00F1111C">
        <w:rPr>
          <w:sz w:val="28"/>
          <w:szCs w:val="28"/>
        </w:rPr>
        <w:t>Предельно допустимые концентрации металлов в воде водоемов хозяйственно-питьевого и культурно-бытового видов водопользования</w:t>
      </w:r>
    </w:p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56"/>
        <w:gridCol w:w="1483"/>
        <w:gridCol w:w="1484"/>
        <w:gridCol w:w="1484"/>
        <w:gridCol w:w="1484"/>
        <w:gridCol w:w="1480"/>
      </w:tblGrid>
      <w:tr w:rsidR="002B0A78" w:rsidRPr="00F1111C" w:rsidTr="00427BEB">
        <w:tc>
          <w:tcPr>
            <w:tcW w:w="1127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both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Металлы</w:t>
            </w:r>
          </w:p>
        </w:tc>
        <w:tc>
          <w:tcPr>
            <w:tcW w:w="775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Cu</w:t>
            </w:r>
          </w:p>
        </w:tc>
        <w:tc>
          <w:tcPr>
            <w:tcW w:w="775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Ni</w:t>
            </w:r>
          </w:p>
        </w:tc>
        <w:tc>
          <w:tcPr>
            <w:tcW w:w="775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Zn</w:t>
            </w:r>
          </w:p>
        </w:tc>
        <w:tc>
          <w:tcPr>
            <w:tcW w:w="775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Pb</w:t>
            </w:r>
          </w:p>
        </w:tc>
        <w:tc>
          <w:tcPr>
            <w:tcW w:w="773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Cr</w:t>
            </w:r>
          </w:p>
        </w:tc>
      </w:tr>
      <w:tr w:rsidR="002B0A78" w:rsidRPr="00F1111C" w:rsidTr="00427BEB">
        <w:tc>
          <w:tcPr>
            <w:tcW w:w="1127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both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ПДК</w:t>
            </w:r>
            <w:r w:rsidRPr="00F1111C">
              <w:rPr>
                <w:sz w:val="20"/>
                <w:szCs w:val="20"/>
                <w:vertAlign w:val="subscript"/>
              </w:rPr>
              <w:t>в</w:t>
            </w:r>
            <w:r w:rsidRPr="00F1111C">
              <w:rPr>
                <w:sz w:val="20"/>
                <w:szCs w:val="20"/>
              </w:rPr>
              <w:t>, мг/л</w:t>
            </w:r>
          </w:p>
        </w:tc>
        <w:tc>
          <w:tcPr>
            <w:tcW w:w="775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0,1</w:t>
            </w:r>
          </w:p>
        </w:tc>
        <w:tc>
          <w:tcPr>
            <w:tcW w:w="775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0,1</w:t>
            </w:r>
          </w:p>
        </w:tc>
        <w:tc>
          <w:tcPr>
            <w:tcW w:w="775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1,0</w:t>
            </w:r>
          </w:p>
        </w:tc>
        <w:tc>
          <w:tcPr>
            <w:tcW w:w="775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0,01</w:t>
            </w:r>
          </w:p>
        </w:tc>
        <w:tc>
          <w:tcPr>
            <w:tcW w:w="773" w:type="pct"/>
          </w:tcPr>
          <w:p w:rsidR="002B0A78" w:rsidRPr="00F1111C" w:rsidRDefault="002B0A78" w:rsidP="00F1111C">
            <w:pPr>
              <w:spacing w:line="360" w:lineRule="auto"/>
              <w:ind w:firstLine="720"/>
              <w:jc w:val="center"/>
              <w:rPr>
                <w:sz w:val="20"/>
                <w:szCs w:val="20"/>
              </w:rPr>
            </w:pPr>
            <w:r w:rsidRPr="00F1111C">
              <w:rPr>
                <w:sz w:val="20"/>
                <w:szCs w:val="20"/>
              </w:rPr>
              <w:t>0,005</w:t>
            </w:r>
          </w:p>
        </w:tc>
      </w:tr>
    </w:tbl>
    <w:p w:rsidR="00BE6164" w:rsidRPr="00F1111C" w:rsidRDefault="00BE6164" w:rsidP="00F1111C">
      <w:pPr>
        <w:spacing w:line="360" w:lineRule="auto"/>
        <w:outlineLvl w:val="0"/>
        <w:rPr>
          <w:lang w:val="en-US"/>
        </w:rPr>
      </w:pPr>
      <w:bookmarkStart w:id="9" w:name="_GoBack"/>
      <w:bookmarkEnd w:id="9"/>
    </w:p>
    <w:sectPr w:rsidR="00BE6164" w:rsidRPr="00F11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293" w:rsidRDefault="00504293" w:rsidP="002B0A78">
      <w:r>
        <w:separator/>
      </w:r>
    </w:p>
  </w:endnote>
  <w:endnote w:type="continuationSeparator" w:id="0">
    <w:p w:rsidR="00504293" w:rsidRDefault="00504293" w:rsidP="002B0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293" w:rsidRDefault="00504293" w:rsidP="002B0A78">
      <w:r>
        <w:separator/>
      </w:r>
    </w:p>
  </w:footnote>
  <w:footnote w:type="continuationSeparator" w:id="0">
    <w:p w:rsidR="00504293" w:rsidRDefault="00504293" w:rsidP="002B0A78">
      <w:r>
        <w:continuationSeparator/>
      </w:r>
    </w:p>
  </w:footnote>
  <w:footnote w:id="1">
    <w:p w:rsidR="00504293" w:rsidRDefault="002B0A78" w:rsidP="002B0A78">
      <w:pPr>
        <w:pStyle w:val="af"/>
        <w:jc w:val="both"/>
      </w:pPr>
      <w:r w:rsidRPr="003A6AEA">
        <w:rPr>
          <w:rStyle w:val="af5"/>
        </w:rPr>
        <w:footnoteRef/>
      </w:r>
      <w:r w:rsidRPr="003A6AEA">
        <w:t xml:space="preserve"> Источник загрязнения вод – источник, вносящий в поверхностные или подземные воды загрязняющие воду вещества, микроорганизмы или тепло</w:t>
      </w:r>
    </w:p>
  </w:footnote>
  <w:footnote w:id="2">
    <w:p w:rsidR="00504293" w:rsidRDefault="002B0A78" w:rsidP="002B0A78">
      <w:pPr>
        <w:pStyle w:val="af"/>
        <w:jc w:val="both"/>
      </w:pPr>
      <w:r w:rsidRPr="003A6AEA">
        <w:rPr>
          <w:rStyle w:val="af5"/>
        </w:rPr>
        <w:footnoteRef/>
      </w:r>
      <w:r w:rsidRPr="003A6AEA">
        <w:t xml:space="preserve"> Ассимилирующая способность водного объекта – способность водного объекта принимать определенную массу веществ в единицу времени без нарушения норм качества воды в контролируемом створе или пункте водопользования (ГОСТ 17.1.1.01.-77)</w:t>
      </w:r>
    </w:p>
  </w:footnote>
  <w:footnote w:id="3">
    <w:p w:rsidR="00504293" w:rsidRDefault="002B0A78" w:rsidP="002B0A78">
      <w:pPr>
        <w:pStyle w:val="af"/>
        <w:jc w:val="both"/>
      </w:pPr>
      <w:r w:rsidRPr="003A6AEA">
        <w:rPr>
          <w:rStyle w:val="af5"/>
        </w:rPr>
        <w:footnoteRef/>
      </w:r>
      <w:r w:rsidRPr="003A6AEA">
        <w:t xml:space="preserve"> Контрольный створ в задачах установления нормативов ПДС – это поперечное сечение водного потока, в котором контролируются показатели качества воды</w:t>
      </w:r>
    </w:p>
  </w:footnote>
  <w:footnote w:id="4">
    <w:p w:rsidR="00504293" w:rsidRDefault="002B0A78" w:rsidP="002B0A78">
      <w:pPr>
        <w:pStyle w:val="af"/>
        <w:jc w:val="both"/>
      </w:pPr>
      <w:r w:rsidRPr="003A6AEA">
        <w:rPr>
          <w:rStyle w:val="af5"/>
        </w:rPr>
        <w:footnoteRef/>
      </w:r>
      <w:r w:rsidRPr="003A6AEA">
        <w:t xml:space="preserve"> статья 109 Водного кодекса РФ</w:t>
      </w:r>
    </w:p>
  </w:footnote>
  <w:footnote w:id="5">
    <w:p w:rsidR="00504293" w:rsidRDefault="002B0A78" w:rsidP="002B0A78">
      <w:pPr>
        <w:pStyle w:val="af"/>
        <w:jc w:val="both"/>
      </w:pPr>
      <w:r w:rsidRPr="003A6AEA">
        <w:rPr>
          <w:rStyle w:val="af5"/>
        </w:rPr>
        <w:footnoteRef/>
      </w:r>
      <w:r w:rsidRPr="003A6AEA">
        <w:t xml:space="preserve"> Консервативные вещества – вещества, которые не взаимодействуют с водой и не подвергаются биологическому разложению</w:t>
      </w:r>
    </w:p>
  </w:footnote>
  <w:footnote w:id="6">
    <w:p w:rsidR="00504293" w:rsidRDefault="002B0A78" w:rsidP="002B0A78">
      <w:pPr>
        <w:pStyle w:val="af"/>
        <w:jc w:val="both"/>
      </w:pPr>
      <w:r w:rsidRPr="003A6AEA">
        <w:rPr>
          <w:rStyle w:val="af5"/>
        </w:rPr>
        <w:footnoteRef/>
      </w:r>
      <w:r w:rsidRPr="003A6AEA">
        <w:t xml:space="preserve"> см. учебное пособие, стр.97</w:t>
      </w:r>
    </w:p>
  </w:footnote>
  <w:footnote w:id="7">
    <w:p w:rsidR="00504293" w:rsidRDefault="002B0A78" w:rsidP="002B0A78">
      <w:pPr>
        <w:jc w:val="both"/>
      </w:pPr>
      <w:r w:rsidRPr="003A6AEA">
        <w:rPr>
          <w:rStyle w:val="af5"/>
        </w:rPr>
        <w:footnoteRef/>
      </w:r>
      <w:r w:rsidRPr="003A6AEA">
        <w:t xml:space="preserve"> </w:t>
      </w:r>
      <w:r w:rsidRPr="003A6AEA">
        <w:rPr>
          <w:i/>
        </w:rPr>
        <w:t>Хозяйственно-питьевое водопользование</w:t>
      </w:r>
      <w:r w:rsidRPr="003A6AEA">
        <w:t xml:space="preserve"> предусматривает использование воды в качестве источников водоснабжения. В соответствии с СанПиН 2.1.4.559-96 питьевая вода должна быть безопасной в эпидемическом и радиационном отношении, безвредна по химическому составу и должна иметь благоприятные органолептические свойства. </w:t>
      </w:r>
      <w:r w:rsidRPr="003A6AEA">
        <w:rPr>
          <w:i/>
        </w:rPr>
        <w:t>Культурно-бытовое водопользование</w:t>
      </w:r>
      <w:r w:rsidRPr="003A6AEA">
        <w:t xml:space="preserve"> осуществляется там, где население отдыхает в окрестностях водоема в свободное от работы время. Согласно действующим нормативам требования к качеству поверхностных вод, установленные для культурно-бытового водопользования, распространяются на все участки водных объектов, находящихся в черте населенных мест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E036FD"/>
    <w:multiLevelType w:val="hybridMultilevel"/>
    <w:tmpl w:val="68ECBE92"/>
    <w:lvl w:ilvl="0" w:tplc="FFFFFFFF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93139BE"/>
    <w:multiLevelType w:val="hybridMultilevel"/>
    <w:tmpl w:val="84E0FB3C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F3974D8"/>
    <w:multiLevelType w:val="hybridMultilevel"/>
    <w:tmpl w:val="46EAD7D4"/>
    <w:lvl w:ilvl="0" w:tplc="AF6C4766">
      <w:start w:val="1"/>
      <w:numFmt w:val="decimal"/>
      <w:lvlText w:val="%1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618C13AF"/>
    <w:multiLevelType w:val="hybridMultilevel"/>
    <w:tmpl w:val="91780A52"/>
    <w:lvl w:ilvl="0" w:tplc="FFFFFFFF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2504"/>
    <w:rsid w:val="000013DD"/>
    <w:rsid w:val="00004E0A"/>
    <w:rsid w:val="00035A06"/>
    <w:rsid w:val="00045A39"/>
    <w:rsid w:val="00063173"/>
    <w:rsid w:val="0006645A"/>
    <w:rsid w:val="00080121"/>
    <w:rsid w:val="000808B0"/>
    <w:rsid w:val="00087F4C"/>
    <w:rsid w:val="000B17E1"/>
    <w:rsid w:val="000B5546"/>
    <w:rsid w:val="000B67F4"/>
    <w:rsid w:val="000E130E"/>
    <w:rsid w:val="000E1A69"/>
    <w:rsid w:val="000E32D7"/>
    <w:rsid w:val="00102B0E"/>
    <w:rsid w:val="00107EC4"/>
    <w:rsid w:val="00112B0D"/>
    <w:rsid w:val="00126384"/>
    <w:rsid w:val="00135713"/>
    <w:rsid w:val="00157958"/>
    <w:rsid w:val="00193E0B"/>
    <w:rsid w:val="00196005"/>
    <w:rsid w:val="001B1FBC"/>
    <w:rsid w:val="001B7E20"/>
    <w:rsid w:val="001C4A42"/>
    <w:rsid w:val="00200292"/>
    <w:rsid w:val="002031D1"/>
    <w:rsid w:val="00223CF8"/>
    <w:rsid w:val="0029262A"/>
    <w:rsid w:val="002966B7"/>
    <w:rsid w:val="002A7BCF"/>
    <w:rsid w:val="002A7E80"/>
    <w:rsid w:val="002B0A78"/>
    <w:rsid w:val="002B3F13"/>
    <w:rsid w:val="002C0615"/>
    <w:rsid w:val="003142E0"/>
    <w:rsid w:val="00340AB5"/>
    <w:rsid w:val="003414BE"/>
    <w:rsid w:val="0034480E"/>
    <w:rsid w:val="00362A9C"/>
    <w:rsid w:val="003705E8"/>
    <w:rsid w:val="00373DF9"/>
    <w:rsid w:val="00381E9C"/>
    <w:rsid w:val="00397C82"/>
    <w:rsid w:val="003A6AEA"/>
    <w:rsid w:val="003B0141"/>
    <w:rsid w:val="003B7BD8"/>
    <w:rsid w:val="003C2504"/>
    <w:rsid w:val="003F1CDB"/>
    <w:rsid w:val="003F5814"/>
    <w:rsid w:val="0040734C"/>
    <w:rsid w:val="00423E68"/>
    <w:rsid w:val="00427BEB"/>
    <w:rsid w:val="00465321"/>
    <w:rsid w:val="0048724B"/>
    <w:rsid w:val="004B3993"/>
    <w:rsid w:val="004F66FA"/>
    <w:rsid w:val="00504293"/>
    <w:rsid w:val="00523CFB"/>
    <w:rsid w:val="005251C5"/>
    <w:rsid w:val="005271E4"/>
    <w:rsid w:val="00543DA9"/>
    <w:rsid w:val="00556A05"/>
    <w:rsid w:val="0056258B"/>
    <w:rsid w:val="00563597"/>
    <w:rsid w:val="005875F6"/>
    <w:rsid w:val="005B13BA"/>
    <w:rsid w:val="00610176"/>
    <w:rsid w:val="006316F2"/>
    <w:rsid w:val="006602BF"/>
    <w:rsid w:val="00670E9C"/>
    <w:rsid w:val="006B0F6A"/>
    <w:rsid w:val="00713B6B"/>
    <w:rsid w:val="00775ABB"/>
    <w:rsid w:val="007803EA"/>
    <w:rsid w:val="00782508"/>
    <w:rsid w:val="007B0814"/>
    <w:rsid w:val="007C504E"/>
    <w:rsid w:val="007C7F31"/>
    <w:rsid w:val="007E4EB7"/>
    <w:rsid w:val="00802506"/>
    <w:rsid w:val="008130C2"/>
    <w:rsid w:val="0084319E"/>
    <w:rsid w:val="0085633E"/>
    <w:rsid w:val="00856E68"/>
    <w:rsid w:val="0089634D"/>
    <w:rsid w:val="008963E6"/>
    <w:rsid w:val="008A5EAF"/>
    <w:rsid w:val="008B72CA"/>
    <w:rsid w:val="008F2FCC"/>
    <w:rsid w:val="008F5ADE"/>
    <w:rsid w:val="00921763"/>
    <w:rsid w:val="009445DF"/>
    <w:rsid w:val="009715F6"/>
    <w:rsid w:val="009C20AA"/>
    <w:rsid w:val="009D0CE6"/>
    <w:rsid w:val="009D1DB5"/>
    <w:rsid w:val="00A31478"/>
    <w:rsid w:val="00A56092"/>
    <w:rsid w:val="00A705B5"/>
    <w:rsid w:val="00A7165C"/>
    <w:rsid w:val="00AD2FAB"/>
    <w:rsid w:val="00AF02AC"/>
    <w:rsid w:val="00B10341"/>
    <w:rsid w:val="00B1790C"/>
    <w:rsid w:val="00B3448F"/>
    <w:rsid w:val="00B426D0"/>
    <w:rsid w:val="00B97A1A"/>
    <w:rsid w:val="00BE6164"/>
    <w:rsid w:val="00BE653F"/>
    <w:rsid w:val="00C82523"/>
    <w:rsid w:val="00C95E9F"/>
    <w:rsid w:val="00C97505"/>
    <w:rsid w:val="00CE191D"/>
    <w:rsid w:val="00D30983"/>
    <w:rsid w:val="00D47611"/>
    <w:rsid w:val="00D53B17"/>
    <w:rsid w:val="00DE125F"/>
    <w:rsid w:val="00E04AE1"/>
    <w:rsid w:val="00E137ED"/>
    <w:rsid w:val="00E34FE6"/>
    <w:rsid w:val="00E643F7"/>
    <w:rsid w:val="00E722FA"/>
    <w:rsid w:val="00EE37AC"/>
    <w:rsid w:val="00EF04F1"/>
    <w:rsid w:val="00EF0B73"/>
    <w:rsid w:val="00F0429D"/>
    <w:rsid w:val="00F06CA1"/>
    <w:rsid w:val="00F06F8A"/>
    <w:rsid w:val="00F1111C"/>
    <w:rsid w:val="00F172BE"/>
    <w:rsid w:val="00F32DEB"/>
    <w:rsid w:val="00F47F21"/>
    <w:rsid w:val="00F645BA"/>
    <w:rsid w:val="00F71F77"/>
    <w:rsid w:val="00F93CDE"/>
    <w:rsid w:val="00FB4BC0"/>
    <w:rsid w:val="00FC1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C2A870F0-5DC5-43DD-89DA-F9269078E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504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4B3993"/>
    <w:pPr>
      <w:keepNext/>
      <w:spacing w:before="240" w:after="60"/>
      <w:jc w:val="center"/>
      <w:outlineLvl w:val="0"/>
    </w:pPr>
    <w:rPr>
      <w:rFonts w:ascii="Arial" w:hAnsi="Arial"/>
      <w:b/>
      <w:kern w:val="28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3C2504"/>
    <w:pPr>
      <w:keepNext/>
      <w:ind w:left="360"/>
      <w:jc w:val="center"/>
      <w:outlineLvl w:val="1"/>
    </w:pPr>
    <w:rPr>
      <w:sz w:val="36"/>
      <w:szCs w:val="20"/>
    </w:rPr>
  </w:style>
  <w:style w:type="paragraph" w:styleId="3">
    <w:name w:val="heading 3"/>
    <w:basedOn w:val="a"/>
    <w:next w:val="a"/>
    <w:link w:val="30"/>
    <w:uiPriority w:val="99"/>
    <w:qFormat/>
    <w:rsid w:val="00A56092"/>
    <w:pPr>
      <w:keepNext/>
      <w:outlineLvl w:val="2"/>
    </w:pPr>
    <w:rPr>
      <w:b/>
      <w:bCs/>
      <w:szCs w:val="20"/>
    </w:rPr>
  </w:style>
  <w:style w:type="paragraph" w:styleId="4">
    <w:name w:val="heading 4"/>
    <w:basedOn w:val="a"/>
    <w:next w:val="a"/>
    <w:link w:val="40"/>
    <w:uiPriority w:val="99"/>
    <w:qFormat/>
    <w:rsid w:val="004B3993"/>
    <w:pPr>
      <w:keepNext/>
      <w:spacing w:before="240" w:after="60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uiPriority w:val="99"/>
    <w:qFormat/>
    <w:rsid w:val="00A56092"/>
    <w:pPr>
      <w:keepNext/>
      <w:outlineLvl w:val="4"/>
    </w:pPr>
    <w:rPr>
      <w:i/>
      <w:iCs/>
      <w:sz w:val="20"/>
      <w:szCs w:val="20"/>
      <w:lang w:val="en-US"/>
    </w:rPr>
  </w:style>
  <w:style w:type="paragraph" w:styleId="6">
    <w:name w:val="heading 6"/>
    <w:basedOn w:val="a"/>
    <w:next w:val="a"/>
    <w:link w:val="60"/>
    <w:uiPriority w:val="99"/>
    <w:qFormat/>
    <w:rsid w:val="00A56092"/>
    <w:pPr>
      <w:keepNext/>
      <w:outlineLvl w:val="5"/>
    </w:pPr>
    <w:rPr>
      <w:i/>
      <w:iCs/>
      <w:szCs w:val="20"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4B3993"/>
    <w:pPr>
      <w:keepNext/>
      <w:ind w:firstLine="720"/>
      <w:jc w:val="center"/>
      <w:outlineLvl w:val="6"/>
    </w:pPr>
    <w:rPr>
      <w:b/>
      <w:bCs/>
      <w:iCs/>
      <w:sz w:val="28"/>
      <w:szCs w:val="20"/>
    </w:rPr>
  </w:style>
  <w:style w:type="paragraph" w:styleId="8">
    <w:name w:val="heading 8"/>
    <w:basedOn w:val="a"/>
    <w:next w:val="a"/>
    <w:link w:val="80"/>
    <w:uiPriority w:val="99"/>
    <w:qFormat/>
    <w:rsid w:val="004B3993"/>
    <w:pPr>
      <w:keepNext/>
      <w:spacing w:line="360" w:lineRule="auto"/>
      <w:ind w:firstLine="720"/>
      <w:jc w:val="both"/>
      <w:outlineLvl w:val="7"/>
    </w:pPr>
    <w:rPr>
      <w:b/>
      <w:bCs/>
      <w:sz w:val="28"/>
      <w:szCs w:val="20"/>
    </w:rPr>
  </w:style>
  <w:style w:type="paragraph" w:styleId="9">
    <w:name w:val="heading 9"/>
    <w:basedOn w:val="a"/>
    <w:next w:val="a"/>
    <w:link w:val="90"/>
    <w:uiPriority w:val="99"/>
    <w:qFormat/>
    <w:rsid w:val="004B3993"/>
    <w:pPr>
      <w:keepNext/>
      <w:ind w:firstLine="720"/>
      <w:outlineLvl w:val="8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uiPriority w:val="99"/>
    <w:locked/>
    <w:rsid w:val="004B3993"/>
    <w:rPr>
      <w:rFonts w:ascii="Arial" w:hAnsi="Arial" w:cs="Times New Roman"/>
      <w:b/>
      <w:sz w:val="24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50">
    <w:name w:val="Заголовок 5 Знак"/>
    <w:link w:val="5"/>
    <w:uiPriority w:val="99"/>
    <w:locked/>
    <w:rsid w:val="00A56092"/>
    <w:rPr>
      <w:rFonts w:cs="Times New Roman"/>
      <w:i/>
      <w:iCs/>
      <w:lang w:val="en-US" w:eastAsia="x-none"/>
    </w:rPr>
  </w:style>
  <w:style w:type="character" w:customStyle="1" w:styleId="70">
    <w:name w:val="Заголовок 7 Знак"/>
    <w:link w:val="7"/>
    <w:uiPriority w:val="99"/>
    <w:locked/>
    <w:rsid w:val="004B3993"/>
    <w:rPr>
      <w:rFonts w:cs="Times New Roman"/>
      <w:b/>
      <w:bCs/>
      <w:iCs/>
      <w:sz w:val="28"/>
    </w:rPr>
  </w:style>
  <w:style w:type="character" w:customStyle="1" w:styleId="60">
    <w:name w:val="Заголовок 6 Знак"/>
    <w:link w:val="6"/>
    <w:uiPriority w:val="99"/>
    <w:locked/>
    <w:rsid w:val="00A56092"/>
    <w:rPr>
      <w:rFonts w:cs="Times New Roman"/>
      <w:i/>
      <w:iCs/>
      <w:sz w:val="24"/>
      <w:lang w:val="en-US" w:eastAsia="x-none"/>
    </w:rPr>
  </w:style>
  <w:style w:type="table" w:styleId="a3">
    <w:name w:val="Table Grid"/>
    <w:basedOn w:val="a1"/>
    <w:uiPriority w:val="99"/>
    <w:rsid w:val="00A560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0">
    <w:name w:val="Заголовок 8 Знак"/>
    <w:link w:val="8"/>
    <w:uiPriority w:val="99"/>
    <w:locked/>
    <w:rsid w:val="004B3993"/>
    <w:rPr>
      <w:rFonts w:cs="Times New Roman"/>
      <w:b/>
      <w:bCs/>
      <w:sz w:val="28"/>
    </w:rPr>
  </w:style>
  <w:style w:type="character" w:customStyle="1" w:styleId="90">
    <w:name w:val="Заголовок 9 Знак"/>
    <w:link w:val="9"/>
    <w:uiPriority w:val="99"/>
    <w:locked/>
    <w:rsid w:val="004B3993"/>
    <w:rPr>
      <w:rFonts w:cs="Times New Roman"/>
      <w:sz w:val="24"/>
    </w:rPr>
  </w:style>
  <w:style w:type="paragraph" w:styleId="11">
    <w:name w:val="toc 1"/>
    <w:basedOn w:val="a"/>
    <w:next w:val="a"/>
    <w:uiPriority w:val="99"/>
    <w:rsid w:val="004B3993"/>
    <w:pPr>
      <w:tabs>
        <w:tab w:val="right" w:leader="dot" w:pos="8788"/>
      </w:tabs>
    </w:pPr>
    <w:rPr>
      <w:sz w:val="20"/>
      <w:szCs w:val="20"/>
    </w:rPr>
  </w:style>
  <w:style w:type="character" w:customStyle="1" w:styleId="30">
    <w:name w:val="Заголовок 3 Знак"/>
    <w:link w:val="3"/>
    <w:uiPriority w:val="99"/>
    <w:locked/>
    <w:rsid w:val="00A56092"/>
    <w:rPr>
      <w:rFonts w:cs="Times New Roman"/>
      <w:b/>
      <w:bCs/>
      <w:sz w:val="24"/>
    </w:rPr>
  </w:style>
  <w:style w:type="paragraph" w:styleId="a4">
    <w:name w:val="header"/>
    <w:basedOn w:val="a"/>
    <w:link w:val="a5"/>
    <w:uiPriority w:val="99"/>
    <w:rsid w:val="00A56092"/>
    <w:pPr>
      <w:tabs>
        <w:tab w:val="center" w:pos="4677"/>
        <w:tab w:val="right" w:pos="9355"/>
      </w:tabs>
    </w:pPr>
    <w:rPr>
      <w:szCs w:val="20"/>
    </w:rPr>
  </w:style>
  <w:style w:type="paragraph" w:styleId="31">
    <w:name w:val="Body Text Indent 3"/>
    <w:basedOn w:val="a"/>
    <w:link w:val="32"/>
    <w:uiPriority w:val="99"/>
    <w:rsid w:val="00A56092"/>
    <w:pPr>
      <w:ind w:firstLine="360"/>
      <w:jc w:val="both"/>
    </w:pPr>
    <w:rPr>
      <w:szCs w:val="20"/>
    </w:rPr>
  </w:style>
  <w:style w:type="character" w:customStyle="1" w:styleId="a5">
    <w:name w:val="Верхний колонтитул Знак"/>
    <w:link w:val="a4"/>
    <w:uiPriority w:val="99"/>
    <w:locked/>
    <w:rsid w:val="00A56092"/>
    <w:rPr>
      <w:rFonts w:cs="Times New Roman"/>
      <w:sz w:val="24"/>
    </w:rPr>
  </w:style>
  <w:style w:type="paragraph" w:styleId="a6">
    <w:name w:val="footer"/>
    <w:basedOn w:val="a"/>
    <w:link w:val="a7"/>
    <w:uiPriority w:val="99"/>
    <w:rsid w:val="00A56092"/>
    <w:pPr>
      <w:tabs>
        <w:tab w:val="center" w:pos="4677"/>
        <w:tab w:val="right" w:pos="9355"/>
      </w:tabs>
    </w:pPr>
  </w:style>
  <w:style w:type="character" w:customStyle="1" w:styleId="32">
    <w:name w:val="Основной текст с отступом 3 Знак"/>
    <w:link w:val="31"/>
    <w:uiPriority w:val="99"/>
    <w:locked/>
    <w:rsid w:val="00A56092"/>
    <w:rPr>
      <w:rFonts w:cs="Times New Roman"/>
      <w:sz w:val="24"/>
    </w:rPr>
  </w:style>
  <w:style w:type="character" w:styleId="a8">
    <w:name w:val="page number"/>
    <w:uiPriority w:val="99"/>
    <w:rsid w:val="00A56092"/>
    <w:rPr>
      <w:rFonts w:cs="Times New Roman"/>
    </w:rPr>
  </w:style>
  <w:style w:type="character" w:customStyle="1" w:styleId="a7">
    <w:name w:val="Нижний колонтитул Знак"/>
    <w:link w:val="a6"/>
    <w:uiPriority w:val="99"/>
    <w:locked/>
    <w:rsid w:val="00A56092"/>
    <w:rPr>
      <w:rFonts w:cs="Times New Roman"/>
      <w:sz w:val="24"/>
      <w:szCs w:val="24"/>
    </w:rPr>
  </w:style>
  <w:style w:type="paragraph" w:styleId="a9">
    <w:name w:val="Body Text Indent"/>
    <w:basedOn w:val="a"/>
    <w:link w:val="aa"/>
    <w:uiPriority w:val="99"/>
    <w:rsid w:val="00A56092"/>
    <w:pPr>
      <w:ind w:firstLine="360"/>
      <w:jc w:val="both"/>
    </w:pPr>
    <w:rPr>
      <w:sz w:val="20"/>
      <w:szCs w:val="20"/>
    </w:rPr>
  </w:style>
  <w:style w:type="paragraph" w:styleId="21">
    <w:name w:val="Body Text Indent 2"/>
    <w:basedOn w:val="a"/>
    <w:link w:val="22"/>
    <w:uiPriority w:val="99"/>
    <w:rsid w:val="00A56092"/>
    <w:pPr>
      <w:ind w:firstLine="360"/>
      <w:jc w:val="both"/>
    </w:pPr>
    <w:rPr>
      <w:iCs/>
      <w:color w:val="000000"/>
      <w:sz w:val="20"/>
      <w:szCs w:val="20"/>
    </w:rPr>
  </w:style>
  <w:style w:type="character" w:customStyle="1" w:styleId="aa">
    <w:name w:val="Основной текст с отступом Знак"/>
    <w:link w:val="a9"/>
    <w:uiPriority w:val="99"/>
    <w:locked/>
    <w:rsid w:val="00A56092"/>
    <w:rPr>
      <w:rFonts w:cs="Times New Roman"/>
    </w:rPr>
  </w:style>
  <w:style w:type="paragraph" w:styleId="ab">
    <w:name w:val="Document Map"/>
    <w:basedOn w:val="a"/>
    <w:link w:val="ac"/>
    <w:uiPriority w:val="99"/>
    <w:rsid w:val="00A56092"/>
    <w:pPr>
      <w:shd w:val="clear" w:color="auto" w:fill="000080"/>
    </w:pPr>
    <w:rPr>
      <w:rFonts w:ascii="Tahoma" w:hAnsi="Tahoma" w:cs="Tahoma"/>
      <w:szCs w:val="20"/>
    </w:rPr>
  </w:style>
  <w:style w:type="character" w:customStyle="1" w:styleId="22">
    <w:name w:val="Основной текст с отступом 2 Знак"/>
    <w:link w:val="21"/>
    <w:uiPriority w:val="99"/>
    <w:locked/>
    <w:rsid w:val="00A56092"/>
    <w:rPr>
      <w:rFonts w:cs="Times New Roman"/>
      <w:iCs/>
      <w:color w:val="000000"/>
    </w:rPr>
  </w:style>
  <w:style w:type="paragraph" w:styleId="ad">
    <w:name w:val="Body Text"/>
    <w:basedOn w:val="a"/>
    <w:link w:val="ae"/>
    <w:uiPriority w:val="99"/>
    <w:rsid w:val="004B3993"/>
    <w:pPr>
      <w:spacing w:after="120"/>
    </w:pPr>
  </w:style>
  <w:style w:type="character" w:customStyle="1" w:styleId="ac">
    <w:name w:val="Схема документа Знак"/>
    <w:link w:val="ab"/>
    <w:uiPriority w:val="99"/>
    <w:locked/>
    <w:rsid w:val="00A56092"/>
    <w:rPr>
      <w:rFonts w:ascii="Tahoma" w:hAnsi="Tahoma" w:cs="Tahoma"/>
      <w:sz w:val="24"/>
      <w:shd w:val="clear" w:color="auto" w:fill="000080"/>
    </w:rPr>
  </w:style>
  <w:style w:type="paragraph" w:styleId="23">
    <w:name w:val="Body Text 2"/>
    <w:basedOn w:val="a"/>
    <w:link w:val="24"/>
    <w:uiPriority w:val="99"/>
    <w:rsid w:val="004B3993"/>
    <w:pPr>
      <w:spacing w:after="120" w:line="480" w:lineRule="auto"/>
    </w:pPr>
  </w:style>
  <w:style w:type="character" w:customStyle="1" w:styleId="ae">
    <w:name w:val="Основной текст Знак"/>
    <w:link w:val="ad"/>
    <w:uiPriority w:val="99"/>
    <w:locked/>
    <w:rsid w:val="004B3993"/>
    <w:rPr>
      <w:rFonts w:cs="Times New Roman"/>
      <w:sz w:val="24"/>
      <w:szCs w:val="24"/>
    </w:rPr>
  </w:style>
  <w:style w:type="paragraph" w:styleId="33">
    <w:name w:val="Body Text 3"/>
    <w:basedOn w:val="a"/>
    <w:link w:val="34"/>
    <w:uiPriority w:val="99"/>
    <w:rsid w:val="004B3993"/>
    <w:pPr>
      <w:spacing w:after="120"/>
    </w:pPr>
    <w:rPr>
      <w:sz w:val="16"/>
      <w:szCs w:val="16"/>
    </w:rPr>
  </w:style>
  <w:style w:type="character" w:customStyle="1" w:styleId="24">
    <w:name w:val="Основной текст 2 Знак"/>
    <w:link w:val="23"/>
    <w:uiPriority w:val="99"/>
    <w:locked/>
    <w:rsid w:val="004B3993"/>
    <w:rPr>
      <w:rFonts w:cs="Times New Roman"/>
      <w:sz w:val="24"/>
      <w:szCs w:val="24"/>
    </w:rPr>
  </w:style>
  <w:style w:type="character" w:customStyle="1" w:styleId="10">
    <w:name w:val="Заголовок 1 Знак"/>
    <w:link w:val="1"/>
    <w:uiPriority w:val="99"/>
    <w:locked/>
    <w:rsid w:val="004B3993"/>
    <w:rPr>
      <w:rFonts w:ascii="Arial" w:hAnsi="Arial" w:cs="Times New Roman"/>
      <w:b/>
      <w:kern w:val="28"/>
      <w:sz w:val="28"/>
    </w:rPr>
  </w:style>
  <w:style w:type="character" w:customStyle="1" w:styleId="34">
    <w:name w:val="Основной текст 3 Знак"/>
    <w:link w:val="33"/>
    <w:uiPriority w:val="99"/>
    <w:locked/>
    <w:rsid w:val="004B3993"/>
    <w:rPr>
      <w:rFonts w:cs="Times New Roman"/>
      <w:sz w:val="16"/>
      <w:szCs w:val="16"/>
    </w:rPr>
  </w:style>
  <w:style w:type="paragraph" w:styleId="25">
    <w:name w:val="toc 2"/>
    <w:basedOn w:val="a"/>
    <w:next w:val="a"/>
    <w:uiPriority w:val="99"/>
    <w:rsid w:val="004B3993"/>
    <w:pPr>
      <w:tabs>
        <w:tab w:val="right" w:leader="dot" w:pos="8788"/>
      </w:tabs>
      <w:ind w:left="200"/>
    </w:pPr>
    <w:rPr>
      <w:sz w:val="20"/>
      <w:szCs w:val="20"/>
    </w:rPr>
  </w:style>
  <w:style w:type="paragraph" w:styleId="35">
    <w:name w:val="toc 3"/>
    <w:basedOn w:val="a"/>
    <w:next w:val="a"/>
    <w:uiPriority w:val="99"/>
    <w:rsid w:val="004B3993"/>
    <w:pPr>
      <w:tabs>
        <w:tab w:val="right" w:leader="dot" w:pos="8788"/>
      </w:tabs>
      <w:ind w:left="400"/>
    </w:pPr>
    <w:rPr>
      <w:sz w:val="20"/>
      <w:szCs w:val="20"/>
    </w:rPr>
  </w:style>
  <w:style w:type="paragraph" w:styleId="41">
    <w:name w:val="toc 4"/>
    <w:basedOn w:val="a"/>
    <w:next w:val="a"/>
    <w:uiPriority w:val="99"/>
    <w:rsid w:val="004B3993"/>
    <w:pPr>
      <w:tabs>
        <w:tab w:val="right" w:leader="dot" w:pos="8788"/>
      </w:tabs>
      <w:ind w:left="600"/>
    </w:pPr>
    <w:rPr>
      <w:sz w:val="20"/>
      <w:szCs w:val="20"/>
    </w:rPr>
  </w:style>
  <w:style w:type="paragraph" w:styleId="51">
    <w:name w:val="toc 5"/>
    <w:basedOn w:val="a"/>
    <w:next w:val="a"/>
    <w:uiPriority w:val="99"/>
    <w:rsid w:val="004B3993"/>
    <w:pPr>
      <w:tabs>
        <w:tab w:val="right" w:leader="dot" w:pos="8788"/>
      </w:tabs>
      <w:ind w:left="800"/>
    </w:pPr>
    <w:rPr>
      <w:sz w:val="20"/>
      <w:szCs w:val="20"/>
    </w:rPr>
  </w:style>
  <w:style w:type="paragraph" w:styleId="61">
    <w:name w:val="toc 6"/>
    <w:basedOn w:val="a"/>
    <w:next w:val="a"/>
    <w:uiPriority w:val="99"/>
    <w:rsid w:val="004B3993"/>
    <w:pPr>
      <w:tabs>
        <w:tab w:val="right" w:leader="dot" w:pos="8788"/>
      </w:tabs>
      <w:ind w:left="1000"/>
    </w:pPr>
    <w:rPr>
      <w:sz w:val="20"/>
      <w:szCs w:val="20"/>
    </w:rPr>
  </w:style>
  <w:style w:type="paragraph" w:styleId="71">
    <w:name w:val="toc 7"/>
    <w:basedOn w:val="a"/>
    <w:next w:val="a"/>
    <w:uiPriority w:val="99"/>
    <w:rsid w:val="004B3993"/>
    <w:pPr>
      <w:tabs>
        <w:tab w:val="right" w:leader="dot" w:pos="8788"/>
      </w:tabs>
      <w:ind w:left="1200"/>
    </w:pPr>
    <w:rPr>
      <w:sz w:val="20"/>
      <w:szCs w:val="20"/>
    </w:rPr>
  </w:style>
  <w:style w:type="paragraph" w:styleId="81">
    <w:name w:val="toc 8"/>
    <w:basedOn w:val="a"/>
    <w:next w:val="a"/>
    <w:uiPriority w:val="99"/>
    <w:rsid w:val="004B3993"/>
    <w:pPr>
      <w:tabs>
        <w:tab w:val="right" w:leader="dot" w:pos="8788"/>
      </w:tabs>
      <w:ind w:left="1400"/>
    </w:pPr>
    <w:rPr>
      <w:sz w:val="20"/>
      <w:szCs w:val="20"/>
    </w:rPr>
  </w:style>
  <w:style w:type="paragraph" w:styleId="91">
    <w:name w:val="toc 9"/>
    <w:basedOn w:val="a"/>
    <w:next w:val="a"/>
    <w:uiPriority w:val="99"/>
    <w:rsid w:val="004B3993"/>
    <w:pPr>
      <w:tabs>
        <w:tab w:val="right" w:leader="dot" w:pos="8788"/>
      </w:tabs>
      <w:ind w:left="1600"/>
    </w:pPr>
    <w:rPr>
      <w:sz w:val="20"/>
      <w:szCs w:val="20"/>
    </w:rPr>
  </w:style>
  <w:style w:type="paragraph" w:customStyle="1" w:styleId="12">
    <w:name w:val="заголовок 1"/>
    <w:basedOn w:val="a"/>
    <w:next w:val="a"/>
    <w:uiPriority w:val="99"/>
    <w:rsid w:val="004B3993"/>
    <w:pPr>
      <w:keepNext/>
      <w:widowControl w:val="0"/>
      <w:spacing w:line="360" w:lineRule="auto"/>
      <w:ind w:firstLine="720"/>
      <w:jc w:val="center"/>
    </w:pPr>
    <w:rPr>
      <w:b/>
      <w:sz w:val="32"/>
      <w:szCs w:val="20"/>
    </w:rPr>
  </w:style>
  <w:style w:type="paragraph" w:styleId="af">
    <w:name w:val="footnote text"/>
    <w:basedOn w:val="a"/>
    <w:link w:val="af0"/>
    <w:uiPriority w:val="99"/>
    <w:rsid w:val="004B3993"/>
    <w:rPr>
      <w:sz w:val="20"/>
      <w:szCs w:val="20"/>
    </w:rPr>
  </w:style>
  <w:style w:type="paragraph" w:customStyle="1" w:styleId="42">
    <w:name w:val="заголовок 4"/>
    <w:basedOn w:val="a"/>
    <w:next w:val="a"/>
    <w:uiPriority w:val="99"/>
    <w:rsid w:val="004B3993"/>
    <w:pPr>
      <w:keepNext/>
      <w:widowControl w:val="0"/>
      <w:ind w:firstLine="720"/>
      <w:jc w:val="both"/>
    </w:pPr>
    <w:rPr>
      <w:szCs w:val="20"/>
      <w:lang w:val="en-US"/>
    </w:rPr>
  </w:style>
  <w:style w:type="character" w:customStyle="1" w:styleId="af0">
    <w:name w:val="Текст сноски Знак"/>
    <w:link w:val="af"/>
    <w:uiPriority w:val="99"/>
    <w:locked/>
    <w:rsid w:val="004B3993"/>
    <w:rPr>
      <w:rFonts w:cs="Times New Roman"/>
    </w:rPr>
  </w:style>
  <w:style w:type="paragraph" w:customStyle="1" w:styleId="52">
    <w:name w:val="заголовок 5"/>
    <w:basedOn w:val="a"/>
    <w:next w:val="a"/>
    <w:uiPriority w:val="99"/>
    <w:rsid w:val="004B3993"/>
    <w:pPr>
      <w:keepNext/>
      <w:widowControl w:val="0"/>
      <w:jc w:val="right"/>
    </w:pPr>
    <w:rPr>
      <w:szCs w:val="20"/>
    </w:rPr>
  </w:style>
  <w:style w:type="paragraph" w:styleId="af1">
    <w:name w:val="caption"/>
    <w:basedOn w:val="a"/>
    <w:uiPriority w:val="99"/>
    <w:qFormat/>
    <w:rsid w:val="004B3993"/>
    <w:pPr>
      <w:widowControl w:val="0"/>
      <w:jc w:val="center"/>
    </w:pPr>
    <w:rPr>
      <w:b/>
      <w:sz w:val="28"/>
      <w:szCs w:val="20"/>
    </w:rPr>
  </w:style>
  <w:style w:type="paragraph" w:customStyle="1" w:styleId="af2">
    <w:name w:val="Основной текс"/>
    <w:basedOn w:val="a"/>
    <w:uiPriority w:val="99"/>
    <w:rsid w:val="004B3993"/>
    <w:pPr>
      <w:widowControl w:val="0"/>
    </w:pPr>
    <w:rPr>
      <w:b/>
      <w:sz w:val="28"/>
      <w:szCs w:val="20"/>
    </w:rPr>
  </w:style>
  <w:style w:type="paragraph" w:styleId="af3">
    <w:name w:val="Title"/>
    <w:basedOn w:val="a"/>
    <w:link w:val="af4"/>
    <w:uiPriority w:val="99"/>
    <w:qFormat/>
    <w:rsid w:val="004B3993"/>
    <w:pPr>
      <w:jc w:val="center"/>
    </w:pPr>
    <w:rPr>
      <w:b/>
      <w:sz w:val="28"/>
      <w:szCs w:val="20"/>
    </w:rPr>
  </w:style>
  <w:style w:type="character" w:styleId="af5">
    <w:name w:val="footnote reference"/>
    <w:uiPriority w:val="99"/>
    <w:rsid w:val="004B3993"/>
    <w:rPr>
      <w:rFonts w:cs="Times New Roman"/>
      <w:vertAlign w:val="superscript"/>
    </w:rPr>
  </w:style>
  <w:style w:type="character" w:customStyle="1" w:styleId="af4">
    <w:name w:val="Название Знак"/>
    <w:link w:val="af3"/>
    <w:uiPriority w:val="99"/>
    <w:locked/>
    <w:rsid w:val="004B3993"/>
    <w:rPr>
      <w:rFonts w:cs="Times New Roman"/>
      <w:b/>
      <w:sz w:val="28"/>
    </w:rPr>
  </w:style>
  <w:style w:type="paragraph" w:customStyle="1" w:styleId="26">
    <w:name w:val="заголовок 2"/>
    <w:basedOn w:val="a"/>
    <w:next w:val="a"/>
    <w:uiPriority w:val="99"/>
    <w:rsid w:val="004B3993"/>
    <w:pPr>
      <w:keepNext/>
      <w:widowControl w:val="0"/>
      <w:jc w:val="center"/>
    </w:pPr>
    <w:rPr>
      <w:szCs w:val="20"/>
    </w:rPr>
  </w:style>
  <w:style w:type="character" w:styleId="af6">
    <w:name w:val="Hyperlink"/>
    <w:uiPriority w:val="99"/>
    <w:rsid w:val="004B3993"/>
    <w:rPr>
      <w:rFonts w:cs="Times New Roman"/>
      <w:color w:val="0000FF"/>
      <w:u w:val="single"/>
    </w:rPr>
  </w:style>
  <w:style w:type="paragraph" w:styleId="af7">
    <w:name w:val="endnote text"/>
    <w:basedOn w:val="a"/>
    <w:link w:val="af8"/>
    <w:uiPriority w:val="99"/>
    <w:rsid w:val="004B3993"/>
    <w:rPr>
      <w:sz w:val="20"/>
      <w:szCs w:val="20"/>
    </w:rPr>
  </w:style>
  <w:style w:type="character" w:styleId="af9">
    <w:name w:val="endnote reference"/>
    <w:uiPriority w:val="99"/>
    <w:rsid w:val="004B3993"/>
    <w:rPr>
      <w:rFonts w:cs="Times New Roman"/>
      <w:vertAlign w:val="superscript"/>
    </w:rPr>
  </w:style>
  <w:style w:type="character" w:customStyle="1" w:styleId="af8">
    <w:name w:val="Текст концевой сноски Знак"/>
    <w:link w:val="af7"/>
    <w:uiPriority w:val="99"/>
    <w:locked/>
    <w:rsid w:val="004B3993"/>
    <w:rPr>
      <w:rFonts w:cs="Times New Roman"/>
    </w:rPr>
  </w:style>
  <w:style w:type="paragraph" w:customStyle="1" w:styleId="afa">
    <w:name w:val="Решение"/>
    <w:basedOn w:val="a"/>
    <w:next w:val="a"/>
    <w:uiPriority w:val="99"/>
    <w:rsid w:val="004B3993"/>
    <w:pPr>
      <w:spacing w:line="360" w:lineRule="auto"/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14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2100</Words>
  <Characters>11970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home</Company>
  <LinksUpToDate>false</LinksUpToDate>
  <CharactersWithSpaces>14042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Виктор</dc:creator>
  <cp:keywords/>
  <dc:description/>
  <cp:lastModifiedBy>admin</cp:lastModifiedBy>
  <cp:revision>2</cp:revision>
  <dcterms:created xsi:type="dcterms:W3CDTF">2014-02-24T21:55:00Z</dcterms:created>
  <dcterms:modified xsi:type="dcterms:W3CDTF">2014-02-24T21:55:00Z</dcterms:modified>
</cp:coreProperties>
</file>