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F5615" w:rsidRPr="004A06AF" w:rsidRDefault="002F5615" w:rsidP="002F5615">
      <w:pPr>
        <w:spacing w:before="120"/>
        <w:jc w:val="center"/>
        <w:rPr>
          <w:b/>
          <w:bCs/>
          <w:sz w:val="32"/>
          <w:szCs w:val="32"/>
        </w:rPr>
      </w:pPr>
      <w:r w:rsidRPr="004A06AF">
        <w:rPr>
          <w:b/>
          <w:bCs/>
          <w:sz w:val="32"/>
          <w:szCs w:val="32"/>
        </w:rPr>
        <w:t>Рынок ценных бумаг в России, его особенности</w:t>
      </w:r>
    </w:p>
    <w:p w:rsidR="002F5615" w:rsidRPr="004A06AF" w:rsidRDefault="002F5615" w:rsidP="002F5615">
      <w:pPr>
        <w:spacing w:before="120"/>
        <w:jc w:val="center"/>
        <w:rPr>
          <w:sz w:val="28"/>
          <w:szCs w:val="28"/>
        </w:rPr>
      </w:pPr>
      <w:r w:rsidRPr="004A06AF">
        <w:rPr>
          <w:sz w:val="28"/>
          <w:szCs w:val="28"/>
        </w:rPr>
        <w:t>Реферат</w:t>
      </w:r>
    </w:p>
    <w:p w:rsidR="002F5615" w:rsidRPr="004A06AF" w:rsidRDefault="002F5615" w:rsidP="002F5615">
      <w:pPr>
        <w:spacing w:before="120"/>
        <w:jc w:val="center"/>
        <w:rPr>
          <w:b/>
          <w:bCs/>
          <w:sz w:val="28"/>
          <w:szCs w:val="28"/>
        </w:rPr>
      </w:pPr>
      <w:r w:rsidRPr="004A06AF">
        <w:rPr>
          <w:b/>
          <w:bCs/>
          <w:sz w:val="28"/>
          <w:szCs w:val="28"/>
        </w:rPr>
        <w:t>Введение</w:t>
      </w:r>
    </w:p>
    <w:p w:rsidR="002F5615" w:rsidRDefault="002F5615" w:rsidP="002F5615">
      <w:pPr>
        <w:spacing w:before="120"/>
        <w:ind w:firstLine="567"/>
        <w:jc w:val="both"/>
        <w:rPr>
          <w:sz w:val="24"/>
          <w:szCs w:val="24"/>
        </w:rPr>
      </w:pPr>
      <w:r w:rsidRPr="004A06AF">
        <w:rPr>
          <w:sz w:val="24"/>
          <w:szCs w:val="24"/>
        </w:rPr>
        <w:t>Рынки ценных бумаг имеют богатую историю. Предшественниками современных рынков ценных бумаг были средневековые вексельные ярмарки и постоянные вексельные рынки, периодически возникавшие и исчезавшие в XIII—XIV в.в. С торговлей векселями связано появление первых профессиональных участников рынка ценных бумаг и первых бирж, на которых совершались сделки и с товарами, и с векселями.</w:t>
      </w:r>
    </w:p>
    <w:p w:rsidR="002F5615" w:rsidRDefault="002F5615" w:rsidP="002F5615">
      <w:pPr>
        <w:spacing w:before="120"/>
        <w:ind w:firstLine="567"/>
        <w:jc w:val="both"/>
        <w:rPr>
          <w:sz w:val="24"/>
          <w:szCs w:val="24"/>
        </w:rPr>
      </w:pPr>
      <w:r w:rsidRPr="004A06AF">
        <w:rPr>
          <w:sz w:val="24"/>
          <w:szCs w:val="24"/>
        </w:rPr>
        <w:t>Рынок ценных бумаг (фондовый рынок) в современном понимании этого слова зародился в XVI в. в связи с появлением и развитием акционерных компаний и усилением эмиссионной активности государства.</w:t>
      </w:r>
    </w:p>
    <w:p w:rsidR="002F5615" w:rsidRDefault="002F5615" w:rsidP="002F5615">
      <w:pPr>
        <w:spacing w:before="120"/>
        <w:ind w:firstLine="567"/>
        <w:jc w:val="both"/>
        <w:rPr>
          <w:sz w:val="24"/>
          <w:szCs w:val="24"/>
        </w:rPr>
      </w:pPr>
      <w:r w:rsidRPr="004A06AF">
        <w:rPr>
          <w:sz w:val="24"/>
          <w:szCs w:val="24"/>
        </w:rPr>
        <w:t>Однако вплоть до XIX в. акционерные общества оставались редкостью и их ценные бумаги обеспечивали незначительную долю фондового оборота. Большая часть операций с ценными бумагами приходилась на государственные ценные бумаги — именно торговля государственными бумагами привела к возникновению фондовых бирж и других подобных институтов.</w:t>
      </w:r>
    </w:p>
    <w:p w:rsidR="002F5615" w:rsidRDefault="002F5615" w:rsidP="002F5615">
      <w:pPr>
        <w:spacing w:before="120"/>
        <w:ind w:firstLine="567"/>
        <w:jc w:val="both"/>
        <w:rPr>
          <w:sz w:val="24"/>
          <w:szCs w:val="24"/>
        </w:rPr>
      </w:pPr>
      <w:r w:rsidRPr="004A06AF">
        <w:rPr>
          <w:sz w:val="24"/>
          <w:szCs w:val="24"/>
        </w:rPr>
        <w:t>В 60-х гг. XIX в. в Германии появились универсальные инвестиционные банки, взявшие на себя весь комплекс посреднических операций с ценными бумагами в интересах прежде всего тяжелой индустрии. Инвестиционные банки сыграли выдающуюся роль в индустриализации таких стран, как США, Германия, Швеция.</w:t>
      </w:r>
    </w:p>
    <w:p w:rsidR="002F5615" w:rsidRDefault="002F5615" w:rsidP="002F5615">
      <w:pPr>
        <w:spacing w:before="120"/>
        <w:ind w:firstLine="567"/>
        <w:jc w:val="both"/>
        <w:rPr>
          <w:sz w:val="24"/>
          <w:szCs w:val="24"/>
        </w:rPr>
      </w:pPr>
      <w:r w:rsidRPr="004A06AF">
        <w:rPr>
          <w:sz w:val="24"/>
          <w:szCs w:val="24"/>
        </w:rPr>
        <w:t>Рынок ценных бумаг (фондовый рынок) представляет собой часть финансового рынка. Рынок ценных бумаг дополняет систему банковского кредита и взаимодействует с ней. Выпуская ценные бумаги, предприятие может получить финансовые средства на длительный период времени: на несколько десятилетий (облигации) или вообще в бессрочное пользование (акции).</w:t>
      </w:r>
    </w:p>
    <w:p w:rsidR="002F5615" w:rsidRDefault="002F5615" w:rsidP="002F5615">
      <w:pPr>
        <w:spacing w:before="120"/>
        <w:ind w:firstLine="567"/>
        <w:jc w:val="both"/>
        <w:rPr>
          <w:sz w:val="24"/>
          <w:szCs w:val="24"/>
        </w:rPr>
      </w:pPr>
      <w:r w:rsidRPr="004A06AF">
        <w:rPr>
          <w:sz w:val="24"/>
          <w:szCs w:val="24"/>
        </w:rPr>
        <w:t>Рынок ценных бумаг обеспечивает механизм, с помощью которого в экономику привлекаются инвестиции. Он связывает тех, кто привлекает инвестиции, выпуская ценные бумаги (эмитентов), тех, кто желает вложить свои средства в финансирование инвестиционных проектов (инвесторов, владельцев), и тех, кто осуществляет деятельность на рынке (профессиональных участников).</w:t>
      </w:r>
    </w:p>
    <w:p w:rsidR="002F5615" w:rsidRPr="004A06AF" w:rsidRDefault="002F5615" w:rsidP="002F5615">
      <w:pPr>
        <w:spacing w:before="120"/>
        <w:jc w:val="center"/>
        <w:rPr>
          <w:b/>
          <w:bCs/>
          <w:sz w:val="28"/>
          <w:szCs w:val="28"/>
        </w:rPr>
      </w:pPr>
      <w:r w:rsidRPr="004A06AF">
        <w:rPr>
          <w:b/>
          <w:bCs/>
          <w:sz w:val="28"/>
          <w:szCs w:val="28"/>
        </w:rPr>
        <w:t>1. Функции и структура рынка ценных бумаг</w:t>
      </w:r>
    </w:p>
    <w:p w:rsidR="002F5615" w:rsidRDefault="002F5615" w:rsidP="002F5615">
      <w:pPr>
        <w:spacing w:before="120"/>
        <w:ind w:firstLine="567"/>
        <w:jc w:val="both"/>
        <w:rPr>
          <w:sz w:val="24"/>
          <w:szCs w:val="24"/>
        </w:rPr>
      </w:pPr>
      <w:r w:rsidRPr="004A06AF">
        <w:rPr>
          <w:sz w:val="24"/>
          <w:szCs w:val="24"/>
        </w:rPr>
        <w:t>Как любой другой рынок, рынок ценных бумаг обеспечивает механизм воздействия спроса и предложения. Предложение формируется частными компаниями и государством, которые нуждаются в дополнительных средствах для финансирования своей деятельности. Они выступают на фондовом рынке заемщиками, в то время как кредиторами, формирующими спрос на рынке ценных бумаг, как правило, является население, личный сектор, мелкий бизнес, инвестиционные институты, имеющие временно свободные денежные средства.</w:t>
      </w:r>
      <w:r>
        <w:rPr>
          <w:sz w:val="24"/>
          <w:szCs w:val="24"/>
        </w:rPr>
        <w:t xml:space="preserve"> </w:t>
      </w:r>
    </w:p>
    <w:p w:rsidR="002F5615" w:rsidRDefault="002F5615" w:rsidP="002F5615">
      <w:pPr>
        <w:spacing w:before="120"/>
        <w:ind w:firstLine="567"/>
        <w:jc w:val="both"/>
        <w:rPr>
          <w:sz w:val="24"/>
          <w:szCs w:val="24"/>
        </w:rPr>
      </w:pPr>
      <w:r w:rsidRPr="004A06AF">
        <w:rPr>
          <w:sz w:val="24"/>
          <w:szCs w:val="24"/>
        </w:rPr>
        <w:t>Рынок ценных бумаг — это совокупность экономических отношений, возникающих между различными экономическими субъектами по поводу мобилизации и размещения свободного капитала в процессе выпуска и обращения ценных бумаг.</w:t>
      </w:r>
    </w:p>
    <w:p w:rsidR="002F5615" w:rsidRPr="004A06AF" w:rsidRDefault="002F5615" w:rsidP="002F5615">
      <w:pPr>
        <w:spacing w:before="120"/>
        <w:ind w:firstLine="567"/>
        <w:jc w:val="both"/>
        <w:rPr>
          <w:sz w:val="24"/>
          <w:szCs w:val="24"/>
        </w:rPr>
      </w:pPr>
      <w:r w:rsidRPr="004A06AF">
        <w:rPr>
          <w:sz w:val="24"/>
          <w:szCs w:val="24"/>
        </w:rPr>
        <w:t>Рынок ценных бумаг выполняет ряд функций, которые можно разделить на две группы: 1) общерыночные функции, присущие любому рынку, и 2) специфические функции, которые отличают его от остальных рынков.</w:t>
      </w:r>
    </w:p>
    <w:p w:rsidR="002F5615" w:rsidRPr="004A06AF" w:rsidRDefault="002F5615" w:rsidP="002F5615">
      <w:pPr>
        <w:spacing w:before="120"/>
        <w:ind w:firstLine="567"/>
        <w:jc w:val="both"/>
        <w:rPr>
          <w:sz w:val="24"/>
          <w:szCs w:val="24"/>
        </w:rPr>
      </w:pPr>
      <w:r w:rsidRPr="004A06AF">
        <w:rPr>
          <w:sz w:val="24"/>
          <w:szCs w:val="24"/>
        </w:rPr>
        <w:t>К общерыночным относятся:</w:t>
      </w:r>
    </w:p>
    <w:p w:rsidR="002F5615" w:rsidRPr="004A06AF" w:rsidRDefault="002F5615" w:rsidP="002F5615">
      <w:pPr>
        <w:spacing w:before="120"/>
        <w:ind w:firstLine="567"/>
        <w:jc w:val="both"/>
        <w:rPr>
          <w:sz w:val="24"/>
          <w:szCs w:val="24"/>
        </w:rPr>
      </w:pPr>
      <w:r w:rsidRPr="004A06AF">
        <w:rPr>
          <w:sz w:val="24"/>
          <w:szCs w:val="24"/>
        </w:rPr>
        <w:t>коммерческая функция, связанная с получением прибыли от операций на данном рынке;</w:t>
      </w:r>
    </w:p>
    <w:p w:rsidR="002F5615" w:rsidRPr="004A06AF" w:rsidRDefault="002F5615" w:rsidP="002F5615">
      <w:pPr>
        <w:spacing w:before="120"/>
        <w:ind w:firstLine="567"/>
        <w:jc w:val="both"/>
        <w:rPr>
          <w:sz w:val="24"/>
          <w:szCs w:val="24"/>
        </w:rPr>
      </w:pPr>
      <w:r w:rsidRPr="004A06AF">
        <w:rPr>
          <w:sz w:val="24"/>
          <w:szCs w:val="24"/>
        </w:rPr>
        <w:t>ценовая функция, при помощи которой обеспечивается процесс формирования рыночных цен, их постоянное движение и т.д.;</w:t>
      </w:r>
    </w:p>
    <w:p w:rsidR="002F5615" w:rsidRPr="004A06AF" w:rsidRDefault="002F5615" w:rsidP="002F5615">
      <w:pPr>
        <w:spacing w:before="120"/>
        <w:ind w:firstLine="567"/>
        <w:jc w:val="both"/>
        <w:rPr>
          <w:sz w:val="24"/>
          <w:szCs w:val="24"/>
        </w:rPr>
      </w:pPr>
      <w:r w:rsidRPr="004A06AF">
        <w:rPr>
          <w:sz w:val="24"/>
          <w:szCs w:val="24"/>
        </w:rPr>
        <w:t>информационная функция, на основе которой рынок производит и доводит до своих участников информацию об объектах торговли;</w:t>
      </w:r>
    </w:p>
    <w:p w:rsidR="002F5615" w:rsidRDefault="002F5615" w:rsidP="002F5615">
      <w:pPr>
        <w:spacing w:before="120"/>
        <w:ind w:firstLine="567"/>
        <w:jc w:val="both"/>
        <w:rPr>
          <w:sz w:val="24"/>
          <w:szCs w:val="24"/>
        </w:rPr>
      </w:pPr>
      <w:r w:rsidRPr="004A06AF">
        <w:rPr>
          <w:sz w:val="24"/>
          <w:szCs w:val="24"/>
        </w:rPr>
        <w:t>регулирующая функция, связанная с созданием правил торговли и участия в ней, порядка разрешения споров между участниками, установлением приоритетов и образованием органов управления и контроля.</w:t>
      </w:r>
    </w:p>
    <w:p w:rsidR="002F5615" w:rsidRPr="004A06AF" w:rsidRDefault="002F5615" w:rsidP="002F5615">
      <w:pPr>
        <w:spacing w:before="120"/>
        <w:ind w:firstLine="567"/>
        <w:jc w:val="both"/>
        <w:rPr>
          <w:sz w:val="24"/>
          <w:szCs w:val="24"/>
        </w:rPr>
      </w:pPr>
      <w:r w:rsidRPr="004A06AF">
        <w:rPr>
          <w:sz w:val="24"/>
          <w:szCs w:val="24"/>
        </w:rPr>
        <w:t>К специфическим можно отнести:</w:t>
      </w:r>
    </w:p>
    <w:p w:rsidR="002F5615" w:rsidRPr="004A06AF" w:rsidRDefault="002F5615" w:rsidP="002F5615">
      <w:pPr>
        <w:spacing w:before="120"/>
        <w:ind w:firstLine="567"/>
        <w:jc w:val="both"/>
        <w:rPr>
          <w:sz w:val="24"/>
          <w:szCs w:val="24"/>
        </w:rPr>
      </w:pPr>
      <w:r w:rsidRPr="004A06AF">
        <w:rPr>
          <w:sz w:val="24"/>
          <w:szCs w:val="24"/>
        </w:rPr>
        <w:t>перераспределительную функцию, обеспечивающую перелив денежных средств между отраслями и сферами деятельности и финансирование дефицита бюджета;</w:t>
      </w:r>
    </w:p>
    <w:p w:rsidR="002F5615" w:rsidRDefault="002F5615" w:rsidP="002F5615">
      <w:pPr>
        <w:spacing w:before="120"/>
        <w:ind w:firstLine="567"/>
        <w:jc w:val="both"/>
        <w:rPr>
          <w:sz w:val="24"/>
          <w:szCs w:val="24"/>
        </w:rPr>
      </w:pPr>
      <w:r w:rsidRPr="004A06AF">
        <w:rPr>
          <w:sz w:val="24"/>
          <w:szCs w:val="24"/>
        </w:rPr>
        <w:t>функцию страхования ценовых и финансовых рисков, или хеджирования, которое осуществляется на основе нового класса производных ценных бумаг: фьючерсных и опционных контрактов.</w:t>
      </w:r>
    </w:p>
    <w:p w:rsidR="002F5615" w:rsidRPr="004A06AF" w:rsidRDefault="002F5615" w:rsidP="002F5615">
      <w:pPr>
        <w:spacing w:before="120"/>
        <w:ind w:firstLine="567"/>
        <w:jc w:val="both"/>
        <w:rPr>
          <w:sz w:val="24"/>
          <w:szCs w:val="24"/>
        </w:rPr>
      </w:pPr>
      <w:r w:rsidRPr="004A06AF">
        <w:rPr>
          <w:sz w:val="24"/>
          <w:szCs w:val="24"/>
        </w:rPr>
        <w:t>Можно выделить следующие виды рынков ценных бумаг:</w:t>
      </w:r>
    </w:p>
    <w:p w:rsidR="002F5615" w:rsidRPr="004A06AF" w:rsidRDefault="002F5615" w:rsidP="002F5615">
      <w:pPr>
        <w:spacing w:before="120"/>
        <w:ind w:firstLine="567"/>
        <w:jc w:val="both"/>
        <w:rPr>
          <w:sz w:val="24"/>
          <w:szCs w:val="24"/>
        </w:rPr>
      </w:pPr>
      <w:r w:rsidRPr="004A06AF">
        <w:rPr>
          <w:sz w:val="24"/>
          <w:szCs w:val="24"/>
        </w:rPr>
        <w:t>первичный и вторичный;</w:t>
      </w:r>
    </w:p>
    <w:p w:rsidR="002F5615" w:rsidRPr="004A06AF" w:rsidRDefault="002F5615" w:rsidP="002F5615">
      <w:pPr>
        <w:spacing w:before="120"/>
        <w:ind w:firstLine="567"/>
        <w:jc w:val="both"/>
        <w:rPr>
          <w:sz w:val="24"/>
          <w:szCs w:val="24"/>
        </w:rPr>
      </w:pPr>
      <w:r w:rsidRPr="004A06AF">
        <w:rPr>
          <w:sz w:val="24"/>
          <w:szCs w:val="24"/>
        </w:rPr>
        <w:t>организованный и неорганизованный;</w:t>
      </w:r>
    </w:p>
    <w:p w:rsidR="002F5615" w:rsidRPr="004A06AF" w:rsidRDefault="002F5615" w:rsidP="002F5615">
      <w:pPr>
        <w:spacing w:before="120"/>
        <w:ind w:firstLine="567"/>
        <w:jc w:val="both"/>
        <w:rPr>
          <w:sz w:val="24"/>
          <w:szCs w:val="24"/>
        </w:rPr>
      </w:pPr>
      <w:r w:rsidRPr="004A06AF">
        <w:rPr>
          <w:sz w:val="24"/>
          <w:szCs w:val="24"/>
        </w:rPr>
        <w:t>биржевой и внебиржевой;</w:t>
      </w:r>
    </w:p>
    <w:p w:rsidR="002F5615" w:rsidRPr="004A06AF" w:rsidRDefault="002F5615" w:rsidP="002F5615">
      <w:pPr>
        <w:spacing w:before="120"/>
        <w:ind w:firstLine="567"/>
        <w:jc w:val="both"/>
        <w:rPr>
          <w:sz w:val="24"/>
          <w:szCs w:val="24"/>
        </w:rPr>
      </w:pPr>
      <w:r w:rsidRPr="004A06AF">
        <w:rPr>
          <w:sz w:val="24"/>
          <w:szCs w:val="24"/>
        </w:rPr>
        <w:t>кассовый и срочный.</w:t>
      </w:r>
    </w:p>
    <w:p w:rsidR="002F5615" w:rsidRPr="004A06AF" w:rsidRDefault="002F5615" w:rsidP="002F5615">
      <w:pPr>
        <w:spacing w:before="120"/>
        <w:ind w:firstLine="567"/>
        <w:jc w:val="both"/>
        <w:rPr>
          <w:sz w:val="24"/>
          <w:szCs w:val="24"/>
        </w:rPr>
      </w:pPr>
      <w:r w:rsidRPr="004A06AF">
        <w:rPr>
          <w:sz w:val="24"/>
          <w:szCs w:val="24"/>
        </w:rPr>
        <w:t>1. Первичный рынок — это приобретение ценных бумаг их первыми владельцами. Эта первая стадия процесса реализации ценной бумаги и первое появление ценной бумаги на рынке. Вторичный рынок — это обращение ранее выпущенных ценных бумаг, т.е. совокупность всех актов купли-продажи или других форм перехода ценных бумаг от одного владельца к другому в течение всего срока обращения ценной бумаги.</w:t>
      </w:r>
    </w:p>
    <w:p w:rsidR="002F5615" w:rsidRPr="004A06AF" w:rsidRDefault="002F5615" w:rsidP="002F5615">
      <w:pPr>
        <w:spacing w:before="120"/>
        <w:ind w:firstLine="567"/>
        <w:jc w:val="both"/>
        <w:rPr>
          <w:sz w:val="24"/>
          <w:szCs w:val="24"/>
        </w:rPr>
      </w:pPr>
      <w:r w:rsidRPr="004A06AF">
        <w:rPr>
          <w:sz w:val="24"/>
          <w:szCs w:val="24"/>
        </w:rPr>
        <w:t>2. Организованный рынок ценных бумаг представляет собой их обращение на основе правил, установленных органами управления между лицензированными профессиональными посредниками — участниками рынка по поручению других участников. Неорганизованный рынок — это обращение ценных бумаг без соблюдения единых для всех участников рынка правил.</w:t>
      </w:r>
    </w:p>
    <w:p w:rsidR="002F5615" w:rsidRPr="004A06AF" w:rsidRDefault="002F5615" w:rsidP="002F5615">
      <w:pPr>
        <w:spacing w:before="120"/>
        <w:ind w:firstLine="567"/>
        <w:jc w:val="both"/>
        <w:rPr>
          <w:sz w:val="24"/>
          <w:szCs w:val="24"/>
        </w:rPr>
      </w:pPr>
      <w:r w:rsidRPr="004A06AF">
        <w:rPr>
          <w:sz w:val="24"/>
          <w:szCs w:val="24"/>
        </w:rPr>
        <w:t>3. Биржевой рынок основан на торговле ценными бумагами на фондовых биржах, поэтому это всегда организованный рынок ценных бумаг, так как торговля на нем ведется строго по правилам биржи и только между биржевыми посредниками, которые тщательно отбираются среди всех других участников рынка. Внебиржевой рынок — это торговля ценными бумагами, минуя фондовую биржу. Он может быть организованным или неорганизованным. Организованный биржевой рынок основывается на компьютерных системах связи, торговли и обслуживания по ценным бумагам. Неорганизованный внебиржевой рынок связан с куплей-продажей ценных бумаг любыми участниками рынка без соблюдения каких-либо правил.</w:t>
      </w:r>
    </w:p>
    <w:p w:rsidR="002F5615" w:rsidRDefault="002F5615" w:rsidP="002F5615">
      <w:pPr>
        <w:spacing w:before="120"/>
        <w:ind w:firstLine="567"/>
        <w:jc w:val="both"/>
        <w:rPr>
          <w:sz w:val="24"/>
          <w:szCs w:val="24"/>
        </w:rPr>
      </w:pPr>
      <w:r w:rsidRPr="004A06AF">
        <w:rPr>
          <w:sz w:val="24"/>
          <w:szCs w:val="24"/>
        </w:rPr>
        <w:t>4. Кассовый рынок ценных бумаг представляет собой рынок с немедленным исполнением сделок в течение одного-двух рабочих дней. Срочный — это рынок, на котором заключаются сделки со сроком исполнения, превышающим два рабочих дня.</w:t>
      </w:r>
    </w:p>
    <w:p w:rsidR="002F5615" w:rsidRDefault="002F5615" w:rsidP="002F5615">
      <w:pPr>
        <w:spacing w:before="120"/>
        <w:ind w:firstLine="567"/>
        <w:jc w:val="both"/>
        <w:rPr>
          <w:sz w:val="24"/>
          <w:szCs w:val="24"/>
        </w:rPr>
      </w:pPr>
      <w:r w:rsidRPr="004A06AF">
        <w:rPr>
          <w:sz w:val="24"/>
          <w:szCs w:val="24"/>
        </w:rPr>
        <w:t>Важнейшую роль в функционировании рынка ценных бумаг играет его инфраструктура, которая способствует заключению сделок и выполняет функции информационной поддержки эмитентов, инвесторов и профессиональных посредников.</w:t>
      </w:r>
    </w:p>
    <w:p w:rsidR="002F5615" w:rsidRPr="004A06AF" w:rsidRDefault="002F5615" w:rsidP="002F5615">
      <w:pPr>
        <w:spacing w:before="120"/>
        <w:ind w:firstLine="567"/>
        <w:jc w:val="both"/>
        <w:rPr>
          <w:sz w:val="24"/>
          <w:szCs w:val="24"/>
        </w:rPr>
      </w:pPr>
      <w:r w:rsidRPr="004A06AF">
        <w:rPr>
          <w:sz w:val="24"/>
          <w:szCs w:val="24"/>
        </w:rPr>
        <w:t>К инфрастуктуре рынка ценных бумаг относятся:</w:t>
      </w:r>
    </w:p>
    <w:p w:rsidR="002F5615" w:rsidRPr="004A06AF" w:rsidRDefault="002F5615" w:rsidP="002F5615">
      <w:pPr>
        <w:spacing w:before="120"/>
        <w:ind w:firstLine="567"/>
        <w:jc w:val="both"/>
        <w:rPr>
          <w:sz w:val="24"/>
          <w:szCs w:val="24"/>
        </w:rPr>
      </w:pPr>
      <w:r w:rsidRPr="004A06AF">
        <w:rPr>
          <w:sz w:val="24"/>
          <w:szCs w:val="24"/>
        </w:rPr>
        <w:t>1) организаторы торговли — биржи и торговые системы, организующие проведение регулярных торгов по ценным бумагам;</w:t>
      </w:r>
    </w:p>
    <w:p w:rsidR="002F5615" w:rsidRPr="004A06AF" w:rsidRDefault="002F5615" w:rsidP="002F5615">
      <w:pPr>
        <w:spacing w:before="120"/>
        <w:ind w:firstLine="567"/>
        <w:jc w:val="both"/>
        <w:rPr>
          <w:sz w:val="24"/>
          <w:szCs w:val="24"/>
        </w:rPr>
      </w:pPr>
      <w:r w:rsidRPr="004A06AF">
        <w:rPr>
          <w:sz w:val="24"/>
          <w:szCs w:val="24"/>
        </w:rPr>
        <w:t>2) системы расчетов и учета прав на ценные бумаги — клиринговые системы, регистраторы и депозитарии, обеспечивающие расчеты по заключенным сделкам, учет и перерегистрацию прав на ценные бумаги;</w:t>
      </w:r>
    </w:p>
    <w:p w:rsidR="002F5615" w:rsidRPr="004A06AF" w:rsidRDefault="002F5615" w:rsidP="002F5615">
      <w:pPr>
        <w:spacing w:before="120"/>
        <w:ind w:firstLine="567"/>
        <w:jc w:val="both"/>
        <w:rPr>
          <w:sz w:val="24"/>
          <w:szCs w:val="24"/>
        </w:rPr>
      </w:pPr>
      <w:r w:rsidRPr="004A06AF">
        <w:rPr>
          <w:sz w:val="24"/>
          <w:szCs w:val="24"/>
        </w:rPr>
        <w:t>3) посредники на рынке ценных бумаг — дилеры и брокеры, оказывающие инвесторам услуги по заключению сделок на рынке;</w:t>
      </w:r>
    </w:p>
    <w:p w:rsidR="002F5615" w:rsidRPr="004A06AF" w:rsidRDefault="002F5615" w:rsidP="002F5615">
      <w:pPr>
        <w:spacing w:before="120"/>
        <w:ind w:firstLine="567"/>
        <w:jc w:val="both"/>
        <w:rPr>
          <w:sz w:val="24"/>
          <w:szCs w:val="24"/>
        </w:rPr>
      </w:pPr>
      <w:r w:rsidRPr="004A06AF">
        <w:rPr>
          <w:sz w:val="24"/>
          <w:szCs w:val="24"/>
        </w:rPr>
        <w:t>4) информационно-аналитические системы поддержки инвестиций информационные и рейтинговые агентства, представляющие инвесторам полную информацию о состоянии эмитентов.</w:t>
      </w:r>
    </w:p>
    <w:p w:rsidR="002F5615" w:rsidRPr="004A06AF" w:rsidRDefault="002F5615" w:rsidP="002F5615">
      <w:pPr>
        <w:spacing w:before="120"/>
        <w:jc w:val="center"/>
        <w:rPr>
          <w:b/>
          <w:bCs/>
          <w:sz w:val="28"/>
          <w:szCs w:val="28"/>
        </w:rPr>
      </w:pPr>
      <w:r w:rsidRPr="004A06AF">
        <w:rPr>
          <w:b/>
          <w:bCs/>
          <w:sz w:val="28"/>
          <w:szCs w:val="28"/>
        </w:rPr>
        <w:t>2. Правовое регулирование рынка ценных бумаг</w:t>
      </w:r>
    </w:p>
    <w:p w:rsidR="002F5615" w:rsidRPr="004A06AF" w:rsidRDefault="002F5615" w:rsidP="002F5615">
      <w:pPr>
        <w:spacing w:before="120"/>
        <w:jc w:val="center"/>
        <w:rPr>
          <w:b/>
          <w:bCs/>
          <w:sz w:val="28"/>
          <w:szCs w:val="28"/>
        </w:rPr>
      </w:pPr>
      <w:r w:rsidRPr="004A06AF">
        <w:rPr>
          <w:b/>
          <w:bCs/>
          <w:sz w:val="28"/>
          <w:szCs w:val="28"/>
        </w:rPr>
        <w:t>2.1 Механизм регулирования</w:t>
      </w:r>
    </w:p>
    <w:p w:rsidR="002F5615" w:rsidRDefault="002F5615" w:rsidP="002F5615">
      <w:pPr>
        <w:spacing w:before="120"/>
        <w:ind w:firstLine="567"/>
        <w:jc w:val="both"/>
        <w:rPr>
          <w:sz w:val="24"/>
          <w:szCs w:val="24"/>
        </w:rPr>
      </w:pPr>
      <w:r w:rsidRPr="004A06AF">
        <w:rPr>
          <w:sz w:val="24"/>
          <w:szCs w:val="24"/>
        </w:rPr>
        <w:t>Фондовый рынок является объектом особенно жесткого государственного контроля и регулирования. Во всех странах подобный бизнес выделяется в специальную область хозяйственного законодательства и административного надзора. Основополагающий принцип законодательства — обеспечивать полное, правдивое и ясное оглашение эмитентами всех фактов, касающихся выпуска ценных бумаг в свободную продажу. До тех пор пока государственные органы не уверены, что поступившая от эмитента документация (проспект эмиссии, заявление на регистрацию и т.п.) полна, правдива и понятна, продажа ценных бумаг считается незаконной. Хотя полностью исключить злоупотребления, не подрывая нормальный инвестиционный бизнес, очень трудно, законы нацелены на то, чтобы предотвратить, насколько это возможно, подделку и обман. Вместе с тем они не освобождают инвесторов от обязанности тщательно изучать все обстоятельства до и после принятия решения.</w:t>
      </w:r>
    </w:p>
    <w:p w:rsidR="002F5615" w:rsidRDefault="002F5615" w:rsidP="002F5615">
      <w:pPr>
        <w:spacing w:before="120"/>
        <w:ind w:firstLine="567"/>
        <w:jc w:val="both"/>
        <w:rPr>
          <w:sz w:val="24"/>
          <w:szCs w:val="24"/>
        </w:rPr>
      </w:pPr>
      <w:r w:rsidRPr="004A06AF">
        <w:rPr>
          <w:sz w:val="24"/>
          <w:szCs w:val="24"/>
        </w:rPr>
        <w:t>Законы предусматривают для регулирующих органов в основном три функции, выполнение которых обеспечивает более или менее надежную защиту инвесторов от финансовых убытков, причиняемых либо по некомпетентности, либо по злому умыслу.</w:t>
      </w:r>
    </w:p>
    <w:p w:rsidR="002F5615" w:rsidRDefault="002F5615" w:rsidP="002F5615">
      <w:pPr>
        <w:spacing w:before="120"/>
        <w:ind w:firstLine="567"/>
        <w:jc w:val="both"/>
        <w:rPr>
          <w:sz w:val="24"/>
          <w:szCs w:val="24"/>
        </w:rPr>
      </w:pPr>
      <w:r w:rsidRPr="004A06AF">
        <w:rPr>
          <w:sz w:val="24"/>
          <w:szCs w:val="24"/>
        </w:rPr>
        <w:t>Первая главная функция — регистрация тех, кто торгует ценными бумагами или консультирует инвесторов. Регистрацию обязана пройти ,как сама фирма, посредничающая на рынке ценных бумаг, так и все ее работники, имеющие дело с ценными бумагами.</w:t>
      </w:r>
    </w:p>
    <w:p w:rsidR="002F5615" w:rsidRDefault="002F5615" w:rsidP="002F5615">
      <w:pPr>
        <w:spacing w:before="120"/>
        <w:ind w:firstLine="567"/>
        <w:jc w:val="both"/>
        <w:rPr>
          <w:sz w:val="24"/>
          <w:szCs w:val="24"/>
        </w:rPr>
      </w:pPr>
      <w:r w:rsidRPr="004A06AF">
        <w:rPr>
          <w:sz w:val="24"/>
          <w:szCs w:val="24"/>
        </w:rPr>
        <w:t>Следующая функция — обеспечение гласности. Каждый, кто продает или предлагает к продаже ценные бумаги новых выпусков, обязан опубликовать проспект, содержащий полную, правдивую и четкую информацию о выпуске и эмитенте. Исключения допускаются в случае приватного размещения, мелких продаж, на которые распространяются иные (например, биржевые) нормы гласности.</w:t>
      </w:r>
    </w:p>
    <w:p w:rsidR="002F5615" w:rsidRDefault="002F5615" w:rsidP="002F5615">
      <w:pPr>
        <w:spacing w:before="120"/>
        <w:ind w:firstLine="567"/>
        <w:jc w:val="both"/>
        <w:rPr>
          <w:sz w:val="24"/>
          <w:szCs w:val="24"/>
        </w:rPr>
      </w:pPr>
      <w:r w:rsidRPr="004A06AF">
        <w:rPr>
          <w:sz w:val="24"/>
          <w:szCs w:val="24"/>
        </w:rPr>
        <w:t>И третья функция — это поддержание правопорядка в отрасли. Компетентные инстанции могут учинить расследование нарушений закона, принять административные меры в отношении тех, кто действует вопреки интересам инвесторов, или передать дело в суд. Закон разрешает им получать свидетельские показания, изымать документы, налагать аресты на денежные средства и ценные бумаги, т.е. пользоваться многими полномочиями суда.</w:t>
      </w:r>
    </w:p>
    <w:p w:rsidR="002F5615" w:rsidRPr="004A06AF" w:rsidRDefault="002F5615" w:rsidP="002F5615">
      <w:pPr>
        <w:spacing w:before="120"/>
        <w:ind w:firstLine="567"/>
        <w:jc w:val="both"/>
        <w:rPr>
          <w:sz w:val="24"/>
          <w:szCs w:val="24"/>
        </w:rPr>
      </w:pPr>
      <w:r w:rsidRPr="004A06AF">
        <w:rPr>
          <w:sz w:val="24"/>
          <w:szCs w:val="24"/>
        </w:rPr>
        <w:t>В России государственное регулирование рынка ценных бумаг осуществляется в соответствии с Федеральным законом «О рынке ценных бумаг» от 22 апреля 1996 г. Регулирование рынка осуществляется путем:</w:t>
      </w:r>
    </w:p>
    <w:p w:rsidR="002F5615" w:rsidRPr="004A06AF" w:rsidRDefault="002F5615" w:rsidP="002F5615">
      <w:pPr>
        <w:spacing w:before="120"/>
        <w:ind w:firstLine="567"/>
        <w:jc w:val="both"/>
        <w:rPr>
          <w:sz w:val="24"/>
          <w:szCs w:val="24"/>
        </w:rPr>
      </w:pPr>
      <w:r w:rsidRPr="004A06AF">
        <w:rPr>
          <w:sz w:val="24"/>
          <w:szCs w:val="24"/>
        </w:rPr>
        <w:t>установления обязательных требований к деятельности эмитентов и профессиональных участников рынка;</w:t>
      </w:r>
    </w:p>
    <w:p w:rsidR="002F5615" w:rsidRPr="004A06AF" w:rsidRDefault="002F5615" w:rsidP="002F5615">
      <w:pPr>
        <w:spacing w:before="120"/>
        <w:ind w:firstLine="567"/>
        <w:jc w:val="both"/>
        <w:rPr>
          <w:sz w:val="24"/>
          <w:szCs w:val="24"/>
        </w:rPr>
      </w:pPr>
      <w:r w:rsidRPr="004A06AF">
        <w:rPr>
          <w:sz w:val="24"/>
          <w:szCs w:val="24"/>
        </w:rPr>
        <w:t>регистрации выпусков эмиссионных ценных бумаг и проспектов эмиссии;</w:t>
      </w:r>
    </w:p>
    <w:p w:rsidR="002F5615" w:rsidRPr="004A06AF" w:rsidRDefault="002F5615" w:rsidP="002F5615">
      <w:pPr>
        <w:spacing w:before="120"/>
        <w:ind w:firstLine="567"/>
        <w:jc w:val="both"/>
        <w:rPr>
          <w:sz w:val="24"/>
          <w:szCs w:val="24"/>
        </w:rPr>
      </w:pPr>
      <w:r w:rsidRPr="004A06AF">
        <w:rPr>
          <w:sz w:val="24"/>
          <w:szCs w:val="24"/>
        </w:rPr>
        <w:t>лицензирования деятельности профессиональных участников рынка;</w:t>
      </w:r>
    </w:p>
    <w:p w:rsidR="002F5615" w:rsidRDefault="002F5615" w:rsidP="002F5615">
      <w:pPr>
        <w:spacing w:before="120"/>
        <w:ind w:firstLine="567"/>
        <w:jc w:val="both"/>
        <w:rPr>
          <w:sz w:val="24"/>
          <w:szCs w:val="24"/>
        </w:rPr>
      </w:pPr>
      <w:r w:rsidRPr="004A06AF">
        <w:rPr>
          <w:sz w:val="24"/>
          <w:szCs w:val="24"/>
        </w:rPr>
        <w:t>создания системы защиты прав эмитентов, профессиональных участников рынка и держателей ценных бумаг.</w:t>
      </w:r>
    </w:p>
    <w:p w:rsidR="002F5615" w:rsidRDefault="002F5615" w:rsidP="002F5615">
      <w:pPr>
        <w:spacing w:before="120"/>
        <w:ind w:firstLine="567"/>
        <w:jc w:val="both"/>
        <w:rPr>
          <w:sz w:val="24"/>
          <w:szCs w:val="24"/>
        </w:rPr>
      </w:pPr>
      <w:r w:rsidRPr="004A06AF">
        <w:rPr>
          <w:sz w:val="24"/>
          <w:szCs w:val="24"/>
        </w:rPr>
        <w:t>Органом исполнительной власти по проведению государственной политики в области рынка ценных бумаг в России, контролю за деятельностью профессиональных участников рынка и определению стандартов эмиссии является Федеральная комиссия по рынку ценных бумаг (ФКЦБ). Федеральная комиссия осуществляет свою деятельность через полномочные территориальные органы. Полномочия ФКЦБ России не распространяются на процедуру эмиссии долговых обязательств Правительства РФ и ценных бумаг субъектов России.</w:t>
      </w:r>
    </w:p>
    <w:p w:rsidR="002F5615" w:rsidRPr="004A06AF" w:rsidRDefault="002F5615" w:rsidP="002F5615">
      <w:pPr>
        <w:spacing w:before="120"/>
        <w:ind w:firstLine="567"/>
        <w:jc w:val="both"/>
        <w:rPr>
          <w:sz w:val="24"/>
          <w:szCs w:val="24"/>
        </w:rPr>
      </w:pPr>
      <w:r w:rsidRPr="004A06AF">
        <w:rPr>
          <w:sz w:val="24"/>
          <w:szCs w:val="24"/>
        </w:rPr>
        <w:t>Основными функциями ФКЦБ являются:</w:t>
      </w:r>
    </w:p>
    <w:p w:rsidR="002F5615" w:rsidRPr="004A06AF" w:rsidRDefault="002F5615" w:rsidP="002F5615">
      <w:pPr>
        <w:spacing w:before="120"/>
        <w:ind w:firstLine="567"/>
        <w:jc w:val="both"/>
        <w:rPr>
          <w:sz w:val="24"/>
          <w:szCs w:val="24"/>
        </w:rPr>
      </w:pPr>
      <w:r w:rsidRPr="004A06AF">
        <w:rPr>
          <w:sz w:val="24"/>
          <w:szCs w:val="24"/>
        </w:rPr>
        <w:t>разработка основных направлений развития рынка ценных бумаг;</w:t>
      </w:r>
    </w:p>
    <w:p w:rsidR="002F5615" w:rsidRPr="004A06AF" w:rsidRDefault="002F5615" w:rsidP="002F5615">
      <w:pPr>
        <w:spacing w:before="120"/>
        <w:ind w:firstLine="567"/>
        <w:jc w:val="both"/>
        <w:rPr>
          <w:sz w:val="24"/>
          <w:szCs w:val="24"/>
        </w:rPr>
      </w:pPr>
      <w:r w:rsidRPr="004A06AF">
        <w:rPr>
          <w:sz w:val="24"/>
          <w:szCs w:val="24"/>
        </w:rPr>
        <w:t>координация деятельности федеральных органов по регулированию рынка ценных бумаг;</w:t>
      </w:r>
    </w:p>
    <w:p w:rsidR="002F5615" w:rsidRPr="004A06AF" w:rsidRDefault="002F5615" w:rsidP="002F5615">
      <w:pPr>
        <w:spacing w:before="120"/>
        <w:ind w:firstLine="567"/>
        <w:jc w:val="both"/>
        <w:rPr>
          <w:sz w:val="24"/>
          <w:szCs w:val="24"/>
        </w:rPr>
      </w:pPr>
      <w:r w:rsidRPr="004A06AF">
        <w:rPr>
          <w:sz w:val="24"/>
          <w:szCs w:val="24"/>
        </w:rPr>
        <w:t>разработка стандартов эмиссии ценных бумаг, включая проспекты эмиссии;</w:t>
      </w:r>
    </w:p>
    <w:p w:rsidR="002F5615" w:rsidRPr="004A06AF" w:rsidRDefault="002F5615" w:rsidP="002F5615">
      <w:pPr>
        <w:spacing w:before="120"/>
        <w:ind w:firstLine="567"/>
        <w:jc w:val="both"/>
        <w:rPr>
          <w:sz w:val="24"/>
          <w:szCs w:val="24"/>
        </w:rPr>
      </w:pPr>
      <w:r w:rsidRPr="004A06AF">
        <w:rPr>
          <w:sz w:val="24"/>
          <w:szCs w:val="24"/>
        </w:rPr>
        <w:t>установление обязательных требований к операциям с ценными бумагами, норм допуска ценных бумаг к размещению;</w:t>
      </w:r>
    </w:p>
    <w:p w:rsidR="002F5615" w:rsidRPr="004A06AF" w:rsidRDefault="002F5615" w:rsidP="002F5615">
      <w:pPr>
        <w:spacing w:before="120"/>
        <w:ind w:firstLine="567"/>
        <w:jc w:val="both"/>
        <w:rPr>
          <w:sz w:val="24"/>
          <w:szCs w:val="24"/>
        </w:rPr>
      </w:pPr>
      <w:r w:rsidRPr="004A06AF">
        <w:rPr>
          <w:sz w:val="24"/>
          <w:szCs w:val="24"/>
        </w:rPr>
        <w:t>установление обязательных требований к порядку ведения реестра и процедур лицензирования различных видов профессиональной деятельности на рынке ценных бумаг;</w:t>
      </w:r>
    </w:p>
    <w:p w:rsidR="002F5615" w:rsidRPr="004A06AF" w:rsidRDefault="002F5615" w:rsidP="002F5615">
      <w:pPr>
        <w:spacing w:before="120"/>
        <w:ind w:firstLine="567"/>
        <w:jc w:val="both"/>
        <w:rPr>
          <w:sz w:val="24"/>
          <w:szCs w:val="24"/>
        </w:rPr>
      </w:pPr>
      <w:r w:rsidRPr="004A06AF">
        <w:rPr>
          <w:sz w:val="24"/>
          <w:szCs w:val="24"/>
        </w:rPr>
        <w:t>выдача и аннулирование лицензий на осуществление деятельности;</w:t>
      </w:r>
    </w:p>
    <w:p w:rsidR="002F5615" w:rsidRPr="004A06AF" w:rsidRDefault="002F5615" w:rsidP="002F5615">
      <w:pPr>
        <w:spacing w:before="120"/>
        <w:ind w:firstLine="567"/>
        <w:jc w:val="both"/>
        <w:rPr>
          <w:sz w:val="24"/>
          <w:szCs w:val="24"/>
        </w:rPr>
      </w:pPr>
      <w:r w:rsidRPr="004A06AF">
        <w:rPr>
          <w:sz w:val="24"/>
          <w:szCs w:val="24"/>
        </w:rPr>
        <w:t>контроль за соблюдением эмитентами, профессиональными участниками рынка и саморегулируемыми организациями профессиональных участников рынка (добровольными объединениями участников рынка, создаваемыми для обеспечения условий деятельности, соблюдения стандартов профессиональной этики и защиты интересов владельцев ценных бумаг — ассоциациями и иными некоммерческими объединениями) ставдартов и требований, утвержденных Федеральной комиссией;</w:t>
      </w:r>
    </w:p>
    <w:p w:rsidR="002F5615" w:rsidRDefault="002F5615" w:rsidP="002F5615">
      <w:pPr>
        <w:spacing w:before="120"/>
        <w:ind w:firstLine="567"/>
        <w:jc w:val="both"/>
        <w:rPr>
          <w:sz w:val="24"/>
          <w:szCs w:val="24"/>
        </w:rPr>
      </w:pPr>
      <w:r w:rsidRPr="004A06AF">
        <w:rPr>
          <w:sz w:val="24"/>
          <w:szCs w:val="24"/>
        </w:rPr>
        <w:t>информирование о выпусках ценных бумаг и о профессиональных участниках рынка и др.</w:t>
      </w:r>
    </w:p>
    <w:p w:rsidR="002F5615" w:rsidRDefault="002F5615" w:rsidP="002F5615">
      <w:pPr>
        <w:spacing w:before="120"/>
        <w:ind w:firstLine="567"/>
        <w:jc w:val="both"/>
        <w:rPr>
          <w:sz w:val="24"/>
          <w:szCs w:val="24"/>
        </w:rPr>
      </w:pPr>
      <w:r w:rsidRPr="004A06AF">
        <w:rPr>
          <w:sz w:val="24"/>
          <w:szCs w:val="24"/>
        </w:rPr>
        <w:t>Установление обязательных требований к деятельности осуществляется путем строгой регламентации видов деятельности профессиональных участников рынка. Несмотря на то что эмитент и владелец ценных бумаг не являются профессиональными участниками рынка, для них установлен ряд требований, касающихся главным образом обязательств о раскрытии информации о ценных бумагах.</w:t>
      </w:r>
    </w:p>
    <w:p w:rsidR="002F5615" w:rsidRPr="004A06AF" w:rsidRDefault="002F5615" w:rsidP="002F5615">
      <w:pPr>
        <w:spacing w:before="120"/>
        <w:ind w:firstLine="567"/>
        <w:jc w:val="both"/>
        <w:rPr>
          <w:sz w:val="24"/>
          <w:szCs w:val="24"/>
        </w:rPr>
      </w:pPr>
      <w:r w:rsidRPr="004A06AF">
        <w:rPr>
          <w:sz w:val="24"/>
          <w:szCs w:val="24"/>
        </w:rPr>
        <w:t>В государственном регулировании рынка ценных бумаг можно выделить три основных направления.</w:t>
      </w:r>
    </w:p>
    <w:p w:rsidR="002F5615" w:rsidRPr="004A06AF" w:rsidRDefault="002F5615" w:rsidP="002F5615">
      <w:pPr>
        <w:spacing w:before="120"/>
        <w:ind w:firstLine="567"/>
        <w:jc w:val="both"/>
        <w:rPr>
          <w:sz w:val="24"/>
          <w:szCs w:val="24"/>
        </w:rPr>
      </w:pPr>
      <w:r w:rsidRPr="004A06AF">
        <w:rPr>
          <w:sz w:val="24"/>
          <w:szCs w:val="24"/>
        </w:rPr>
        <w:t>1. Выработка определенных правил, регулирующих эмиссию и обращение ценных бумаг и деятельность профессиональных участников рынка ценных бумаг, а также контроль за соблюдением действующих в стране соответствующих нормативных актов.</w:t>
      </w:r>
    </w:p>
    <w:p w:rsidR="002F5615" w:rsidRDefault="002F5615" w:rsidP="002F5615">
      <w:pPr>
        <w:spacing w:before="120"/>
        <w:ind w:firstLine="567"/>
        <w:jc w:val="both"/>
        <w:rPr>
          <w:sz w:val="24"/>
          <w:szCs w:val="24"/>
        </w:rPr>
      </w:pPr>
      <w:r w:rsidRPr="004A06AF">
        <w:rPr>
          <w:sz w:val="24"/>
          <w:szCs w:val="24"/>
        </w:rPr>
        <w:t>2. Выдача лицензий органами государственной власти на право заниматься каким-либо видом деятельности на рынке ценных бумаг. В России лицензирование осуществляется ФКЦБ или органами, уполномоченными ею на основании генеральной лицензии.</w:t>
      </w:r>
    </w:p>
    <w:p w:rsidR="002F5615" w:rsidRPr="004A06AF" w:rsidRDefault="002F5615" w:rsidP="002F5615">
      <w:pPr>
        <w:spacing w:before="120"/>
        <w:ind w:firstLine="567"/>
        <w:jc w:val="both"/>
        <w:rPr>
          <w:sz w:val="24"/>
          <w:szCs w:val="24"/>
        </w:rPr>
      </w:pPr>
      <w:r w:rsidRPr="004A06AF">
        <w:rPr>
          <w:sz w:val="24"/>
          <w:szCs w:val="24"/>
        </w:rPr>
        <w:t>Кроме лицензирования, государственный контроль за деятельностью профессиональных участников рынка ценных бумаг осуществляется также путем аттестации специалистов, работающих с ценными бумагами. В России согласно действующему в настоящее время законодательству руководители и специалисты профессиональных организаций — участников рынка ценных бумаг — должны иметь соответствующий квалификационный аттестат, установленный актами ФКЦБ.</w:t>
      </w:r>
    </w:p>
    <w:p w:rsidR="002F5615" w:rsidRDefault="002F5615" w:rsidP="002F5615">
      <w:pPr>
        <w:spacing w:before="120"/>
        <w:ind w:firstLine="567"/>
        <w:jc w:val="both"/>
        <w:rPr>
          <w:sz w:val="24"/>
          <w:szCs w:val="24"/>
        </w:rPr>
      </w:pPr>
      <w:r w:rsidRPr="004A06AF">
        <w:rPr>
          <w:sz w:val="24"/>
          <w:szCs w:val="24"/>
        </w:rPr>
        <w:t>3. Налогообложение доходов от операций с ценными бумагами. Воздействие на рынок ценных бумаг государство оказывает с помощью системы налогообложения, введения системы налоговых льгот и санкций. Плательщиками налога на доходы от операций с ценными бумагами являются все отечественные и иностранные юридические и физические лица, совершающие сделки купли-продажи ценных бумаг, в результате которых они получают дополнительные доходы. Объектом налогообложения являются регистрация проспекта эмиссии ценных бумаг и операции, направленные на возникновение имущественных прав в отношении этих ценных бумаг, зафиксированные в цене договора.</w:t>
      </w:r>
    </w:p>
    <w:p w:rsidR="002F5615" w:rsidRDefault="002F5615" w:rsidP="002F5615">
      <w:pPr>
        <w:spacing w:before="120"/>
        <w:ind w:firstLine="567"/>
        <w:jc w:val="both"/>
        <w:rPr>
          <w:sz w:val="24"/>
          <w:szCs w:val="24"/>
        </w:rPr>
      </w:pPr>
      <w:r w:rsidRPr="004A06AF">
        <w:rPr>
          <w:sz w:val="24"/>
          <w:szCs w:val="24"/>
        </w:rPr>
        <w:t>Помимо государственного регулирования, координация действий профессиональных участников рынка ценных бумаг может осуществляться и саморегулируемыми организациями. В России такой организацией признается добровольное объединение профессиональных участников рынка ценных бумаг, действующих в соответствии с федеральным законом на принципах некоммерческой организации с целью регулирования определенных аспектов рынка на основе государственных гарантий поддержки, выражающихся в присвоении им государственного статуса саморегулируемой организации. Саморегулируемая организация должна быть учреждена не менее чем десятью членами и получить разрешение ФКЦБ. Такая организация устанавливает обязательные для своих членов правила профессиональной деятельности, стандарты проведения операций с ценными бумагами и осуществляет контроль за их соблюдением. В настоящее время в России действуют две такие организации. Это Национальная ассоциация участников фондового рынка (НАУФОР), контролирующая осуществление участниками брокерской и дилерской деятельности, и Профессиональная ассоциация регистраторов, трансфер-агентов и депозитариев (ПАРТАД), участвующая в лицензировании регистраторов и контроле за их деятельностью.</w:t>
      </w:r>
    </w:p>
    <w:p w:rsidR="002F5615" w:rsidRPr="004A06AF" w:rsidRDefault="002F5615" w:rsidP="002F5615">
      <w:pPr>
        <w:spacing w:before="120"/>
        <w:jc w:val="center"/>
        <w:rPr>
          <w:b/>
          <w:bCs/>
          <w:sz w:val="28"/>
          <w:szCs w:val="28"/>
        </w:rPr>
      </w:pPr>
      <w:r w:rsidRPr="004A06AF">
        <w:rPr>
          <w:b/>
          <w:bCs/>
          <w:sz w:val="28"/>
          <w:szCs w:val="28"/>
        </w:rPr>
        <w:t>2.2 Регулирование эмиссии ценных бумаг</w:t>
      </w:r>
    </w:p>
    <w:p w:rsidR="002F5615" w:rsidRPr="004A06AF" w:rsidRDefault="002F5615" w:rsidP="002F5615">
      <w:pPr>
        <w:spacing w:before="120"/>
        <w:ind w:firstLine="567"/>
        <w:jc w:val="both"/>
        <w:rPr>
          <w:sz w:val="24"/>
          <w:szCs w:val="24"/>
        </w:rPr>
      </w:pPr>
      <w:r w:rsidRPr="004A06AF">
        <w:rPr>
          <w:sz w:val="24"/>
          <w:szCs w:val="24"/>
        </w:rPr>
        <w:t>Регистрация выпусков ценных бумаг определена в качестве процедуры ее эмиссии. Процедура эмиссии ценных бумаг включает следующие этапы:</w:t>
      </w:r>
    </w:p>
    <w:p w:rsidR="002F5615" w:rsidRPr="004A06AF" w:rsidRDefault="002F5615" w:rsidP="002F5615">
      <w:pPr>
        <w:spacing w:before="120"/>
        <w:ind w:firstLine="567"/>
        <w:jc w:val="both"/>
        <w:rPr>
          <w:sz w:val="24"/>
          <w:szCs w:val="24"/>
        </w:rPr>
      </w:pPr>
      <w:r w:rsidRPr="004A06AF">
        <w:rPr>
          <w:sz w:val="24"/>
          <w:szCs w:val="24"/>
        </w:rPr>
        <w:t>принятие эмитентом решения о выпуске;</w:t>
      </w:r>
    </w:p>
    <w:p w:rsidR="002F5615" w:rsidRPr="004A06AF" w:rsidRDefault="002F5615" w:rsidP="002F5615">
      <w:pPr>
        <w:spacing w:before="120"/>
        <w:ind w:firstLine="567"/>
        <w:jc w:val="both"/>
        <w:rPr>
          <w:sz w:val="24"/>
          <w:szCs w:val="24"/>
        </w:rPr>
      </w:pPr>
      <w:r w:rsidRPr="004A06AF">
        <w:rPr>
          <w:sz w:val="24"/>
          <w:szCs w:val="24"/>
        </w:rPr>
        <w:t>регистрация выпуска;</w:t>
      </w:r>
    </w:p>
    <w:p w:rsidR="002F5615" w:rsidRPr="004A06AF" w:rsidRDefault="002F5615" w:rsidP="002F5615">
      <w:pPr>
        <w:spacing w:before="120"/>
        <w:ind w:firstLine="567"/>
        <w:jc w:val="both"/>
        <w:rPr>
          <w:sz w:val="24"/>
          <w:szCs w:val="24"/>
        </w:rPr>
      </w:pPr>
      <w:r w:rsidRPr="004A06AF">
        <w:rPr>
          <w:sz w:val="24"/>
          <w:szCs w:val="24"/>
        </w:rPr>
        <w:t>размещение ценных бумаг;</w:t>
      </w:r>
    </w:p>
    <w:p w:rsidR="002F5615" w:rsidRDefault="002F5615" w:rsidP="002F5615">
      <w:pPr>
        <w:spacing w:before="120"/>
        <w:ind w:firstLine="567"/>
        <w:jc w:val="both"/>
        <w:rPr>
          <w:sz w:val="24"/>
          <w:szCs w:val="24"/>
        </w:rPr>
      </w:pPr>
      <w:r w:rsidRPr="004A06AF">
        <w:rPr>
          <w:sz w:val="24"/>
          <w:szCs w:val="24"/>
        </w:rPr>
        <w:t>регистрация отчета об итогах выпуска.</w:t>
      </w:r>
    </w:p>
    <w:p w:rsidR="002F5615" w:rsidRDefault="002F5615" w:rsidP="002F5615">
      <w:pPr>
        <w:spacing w:before="120"/>
        <w:ind w:firstLine="567"/>
        <w:jc w:val="both"/>
        <w:rPr>
          <w:sz w:val="24"/>
          <w:szCs w:val="24"/>
        </w:rPr>
      </w:pPr>
      <w:r w:rsidRPr="004A06AF">
        <w:rPr>
          <w:sz w:val="24"/>
          <w:szCs w:val="24"/>
        </w:rPr>
        <w:t>После принятия эмитентом решения о выпуске ценных бумаг он обязан зарегистрировать проспект эмиссии, если число владельцев ценных бумаг превышает 500, а общий объем эмиссии — 50 тыс. минимальных размеров оплаты труда.</w:t>
      </w:r>
    </w:p>
    <w:p w:rsidR="002F5615" w:rsidRDefault="002F5615" w:rsidP="002F5615">
      <w:pPr>
        <w:spacing w:before="120"/>
        <w:ind w:firstLine="567"/>
        <w:jc w:val="both"/>
        <w:rPr>
          <w:sz w:val="24"/>
          <w:szCs w:val="24"/>
        </w:rPr>
      </w:pPr>
      <w:r w:rsidRPr="004A06AF">
        <w:rPr>
          <w:sz w:val="24"/>
          <w:szCs w:val="24"/>
        </w:rPr>
        <w:t>Для регистрации выпуска ценных бумаг эмитент обязан представить в регистрирующий орган (перечень регистрирующих органов устанавливается ФКЦБ) несколько документов: заявление на регистрацию, решение о выпуске ценных бумаг, проспект эмиссии, копии учредительных документов и т.д.</w:t>
      </w:r>
    </w:p>
    <w:p w:rsidR="002F5615" w:rsidRDefault="002F5615" w:rsidP="002F5615">
      <w:pPr>
        <w:spacing w:before="120"/>
        <w:ind w:firstLine="567"/>
        <w:jc w:val="both"/>
        <w:rPr>
          <w:sz w:val="24"/>
          <w:szCs w:val="24"/>
        </w:rPr>
      </w:pPr>
      <w:r w:rsidRPr="004A06AF">
        <w:rPr>
          <w:sz w:val="24"/>
          <w:szCs w:val="24"/>
        </w:rPr>
        <w:t>При регистрации выпуска ему присваивается государственный регистрационный номер. Решение о регистрации или мотивированный отказ в ней обязан быть представлен регистрирующим органом заявителю не позднее чем через 30 дней с даты получения документов на регистрацию.</w:t>
      </w:r>
    </w:p>
    <w:p w:rsidR="002F5615" w:rsidRDefault="002F5615" w:rsidP="002F5615">
      <w:pPr>
        <w:spacing w:before="120"/>
        <w:ind w:firstLine="567"/>
        <w:jc w:val="both"/>
        <w:rPr>
          <w:sz w:val="24"/>
          <w:szCs w:val="24"/>
        </w:rPr>
      </w:pPr>
      <w:r w:rsidRPr="004A06AF">
        <w:rPr>
          <w:sz w:val="24"/>
          <w:szCs w:val="24"/>
        </w:rPr>
        <w:t>Основаниями для отказа в регистрации выпуска являются: нарушение эмитентом требований законодательства о ценных бумагах; несоответствие представленных документов и указанных в них сведений требованиями Закона; внесение в проспект эмиссии или в решение о выпуске ценных бумаг ложных или недостоверных сведений.</w:t>
      </w:r>
    </w:p>
    <w:p w:rsidR="002F5615" w:rsidRDefault="002F5615" w:rsidP="002F5615">
      <w:pPr>
        <w:spacing w:before="120"/>
        <w:ind w:firstLine="567"/>
        <w:jc w:val="both"/>
        <w:rPr>
          <w:sz w:val="24"/>
          <w:szCs w:val="24"/>
        </w:rPr>
      </w:pPr>
      <w:r w:rsidRPr="004A06AF">
        <w:rPr>
          <w:sz w:val="24"/>
          <w:szCs w:val="24"/>
        </w:rPr>
        <w:t>Проспект эмиссии должен содержать данные об эмитенте (наименование, информация о лицах, владеющих не менее 5% уставного капитала, список членов совета директоров с указанием их должностей в течение последних пяти лет и доли в уставном капитале фирмы-эмитента), данные о финансовом положении эмитента (финансовые документы — балансы, отчеты о прибылях и убытках, использовании прибыли и средств резервного фонда за последние три года, размеры просроченной задолженности, данные об уставном капитале и отчет о предыдущих выпусках ценных бумаг), сведения о предстоящем выпуске ценных бумаг (форма и вид ценных бумаг с указанием порядка хранения и учета прав на них, объем выпуска, количество ценных бумаг в выпуске, дата принятия решения о выпуске, ограничения для потенциальных владельцах, место, где потенциальные владельцы могут приобрести бумаги, сроки начала и окончания размещения, порядок оплаты приобретаемых ценных бумаг, профессиональные участники рынка, привлекаемые к размещению, методика определения размеров доходов по ценным бумагам).</w:t>
      </w:r>
    </w:p>
    <w:p w:rsidR="002F5615" w:rsidRDefault="002F5615" w:rsidP="002F5615">
      <w:pPr>
        <w:spacing w:before="120"/>
        <w:ind w:firstLine="567"/>
        <w:jc w:val="both"/>
        <w:rPr>
          <w:sz w:val="24"/>
          <w:szCs w:val="24"/>
        </w:rPr>
      </w:pPr>
      <w:r w:rsidRPr="004A06AF">
        <w:rPr>
          <w:sz w:val="24"/>
          <w:szCs w:val="24"/>
        </w:rPr>
        <w:t>Эмитент начинает размещение ценных бумаг только после регистрации их выпуска. Количество размещаемых бумаг не должно превышать то, которое указано в проспекте эмиссии. Эмитент может разместить меньшее количество ценных бумаг, что фиксируется в отчете об итогах выпуска.</w:t>
      </w:r>
    </w:p>
    <w:p w:rsidR="002F5615" w:rsidRDefault="002F5615" w:rsidP="002F5615">
      <w:pPr>
        <w:spacing w:before="120"/>
        <w:ind w:firstLine="567"/>
        <w:jc w:val="both"/>
        <w:rPr>
          <w:sz w:val="24"/>
          <w:szCs w:val="24"/>
        </w:rPr>
      </w:pPr>
      <w:r w:rsidRPr="004A06AF">
        <w:rPr>
          <w:sz w:val="24"/>
          <w:szCs w:val="24"/>
        </w:rPr>
        <w:t>Эмитент обязан закончить размещение выпускаемых ценных бумаг по истечении одного года с даты начала эмиссии. Запрещается размещение ценных бумаг нового выпуска ранее чем через две недели после обеспечения всем потенциальным владельцам возможности доступа к информации о выпуске. Запрещается при публичном размещении выпуска закладывать преимущества при приобретении ценных бумаг одним потенциальным владельцам перед другими.</w:t>
      </w:r>
    </w:p>
    <w:p w:rsidR="002F5615" w:rsidRDefault="002F5615" w:rsidP="002F5615">
      <w:pPr>
        <w:spacing w:before="120"/>
        <w:ind w:firstLine="567"/>
        <w:jc w:val="both"/>
        <w:rPr>
          <w:sz w:val="24"/>
          <w:szCs w:val="24"/>
        </w:rPr>
      </w:pPr>
      <w:r w:rsidRPr="004A06AF">
        <w:rPr>
          <w:sz w:val="24"/>
          <w:szCs w:val="24"/>
        </w:rPr>
        <w:t>Эмитент обязан представить отчет об итогах выпуска ценных бумаг в регистрирующий орган не позднее 30 дней после завершения их размещения. Отчет об итогах выпуска должен содержать следующую информацию: даты начала и окончания размещения; фактическую цену размещения по видам ценных бумаг; количество размещенных бумаг; общий объем поступлений, в том числе в рублях, в иностранной валюте, в объемах материальных и нематериальных активов, внесенных в качестве платы. При эмиссии акций в отчете дополнительно указывается список лиц, владеющих пакетом ценных бумаг, размер которого определяется ФКЦБ.</w:t>
      </w:r>
    </w:p>
    <w:p w:rsidR="002F5615" w:rsidRDefault="002F5615" w:rsidP="002F5615">
      <w:pPr>
        <w:spacing w:before="120"/>
        <w:ind w:firstLine="567"/>
        <w:jc w:val="both"/>
        <w:rPr>
          <w:sz w:val="24"/>
          <w:szCs w:val="24"/>
        </w:rPr>
      </w:pPr>
      <w:r w:rsidRPr="004A06AF">
        <w:rPr>
          <w:sz w:val="24"/>
          <w:szCs w:val="24"/>
        </w:rPr>
        <w:t>Федеральная комиссия наделена полномочиями применять санкции в отношении эмитентов, осуществляющих недобросовестную эмиссию ценных бумаг в виде мер к приостановлению дальнейшего размещения, обнародования в средствах массовой информации сведений о фактах недобросовестной эмиссии и основаниях приостановления размещения ценных бумаг, в виде обращения в суды для применения мер административной или уголовной ответственности к должностным лицам недобросовестного эмитента, в виде обращения с иском в суд о признании выпуска ценных бумаг недействительным.</w:t>
      </w:r>
    </w:p>
    <w:p w:rsidR="002F5615" w:rsidRDefault="002F5615" w:rsidP="002F5615">
      <w:pPr>
        <w:spacing w:before="120"/>
        <w:ind w:firstLine="567"/>
        <w:jc w:val="both"/>
        <w:rPr>
          <w:sz w:val="24"/>
          <w:szCs w:val="24"/>
        </w:rPr>
      </w:pPr>
      <w:r w:rsidRPr="004A06AF">
        <w:rPr>
          <w:sz w:val="24"/>
          <w:szCs w:val="24"/>
        </w:rPr>
        <w:t>Выпуск ценных бумаг может быть признан недействительным по иску Федеральной комиссии и государственных регистрирующих и контролирующих органов в судебные органы. Признание выпуска недействительным влечет изъятие из обращения ценных бумаг, выпущенных с нарушениями, и возвращение владельцам денежных средств или другого имущества, полученных эмитентом в счет оплаты ценных бумаг.</w:t>
      </w:r>
    </w:p>
    <w:p w:rsidR="002F5615" w:rsidRPr="004A06AF" w:rsidRDefault="002F5615" w:rsidP="002F5615">
      <w:pPr>
        <w:spacing w:before="120"/>
        <w:jc w:val="center"/>
        <w:rPr>
          <w:b/>
          <w:bCs/>
          <w:sz w:val="28"/>
          <w:szCs w:val="28"/>
        </w:rPr>
      </w:pPr>
      <w:r w:rsidRPr="004A06AF">
        <w:rPr>
          <w:b/>
          <w:bCs/>
          <w:sz w:val="28"/>
          <w:szCs w:val="28"/>
        </w:rPr>
        <w:t>2.3 Лецензирование профессиональной деятельности на рынке ценных бумаг</w:t>
      </w:r>
    </w:p>
    <w:p w:rsidR="002F5615" w:rsidRPr="004A06AF" w:rsidRDefault="002F5615" w:rsidP="002F5615">
      <w:pPr>
        <w:spacing w:before="120"/>
        <w:ind w:firstLine="567"/>
        <w:jc w:val="both"/>
        <w:rPr>
          <w:sz w:val="24"/>
          <w:szCs w:val="24"/>
        </w:rPr>
      </w:pPr>
      <w:r w:rsidRPr="004A06AF">
        <w:rPr>
          <w:sz w:val="24"/>
          <w:szCs w:val="24"/>
        </w:rPr>
        <w:t>Все виды профессиональной деятельности на рынке ценных бумаг осушествляются на основании специального разрешения — лицензии, выдаваемой ФКЦБ или уполномоченными ею органами. Органы, выдавшие лицензии, контролируют деятельность профессиональных участников рынка и принимают решение об отзыве выданной лицензии при нарушении законодательства России. Деятельность профессиональных участников сертифицируется тремя видами лицензий:</w:t>
      </w:r>
    </w:p>
    <w:p w:rsidR="002F5615" w:rsidRPr="004A06AF" w:rsidRDefault="002F5615" w:rsidP="002F5615">
      <w:pPr>
        <w:spacing w:before="120"/>
        <w:ind w:firstLine="567"/>
        <w:jc w:val="both"/>
        <w:rPr>
          <w:sz w:val="24"/>
          <w:szCs w:val="24"/>
        </w:rPr>
      </w:pPr>
      <w:r w:rsidRPr="004A06AF">
        <w:rPr>
          <w:sz w:val="24"/>
          <w:szCs w:val="24"/>
        </w:rPr>
        <w:t>лицензией профессионального участника рынка ценных бумаг;</w:t>
      </w:r>
    </w:p>
    <w:p w:rsidR="002F5615" w:rsidRPr="004A06AF" w:rsidRDefault="002F5615" w:rsidP="002F5615">
      <w:pPr>
        <w:spacing w:before="120"/>
        <w:ind w:firstLine="567"/>
        <w:jc w:val="both"/>
        <w:rPr>
          <w:sz w:val="24"/>
          <w:szCs w:val="24"/>
        </w:rPr>
      </w:pPr>
      <w:r w:rsidRPr="004A06AF">
        <w:rPr>
          <w:sz w:val="24"/>
          <w:szCs w:val="24"/>
        </w:rPr>
        <w:t>лицензией на осуществление деятельности по ведению реестра,</w:t>
      </w:r>
    </w:p>
    <w:p w:rsidR="002F5615" w:rsidRDefault="002F5615" w:rsidP="002F5615">
      <w:pPr>
        <w:spacing w:before="120"/>
        <w:ind w:firstLine="567"/>
        <w:jc w:val="both"/>
        <w:rPr>
          <w:sz w:val="24"/>
          <w:szCs w:val="24"/>
        </w:rPr>
      </w:pPr>
      <w:r w:rsidRPr="004A06AF">
        <w:rPr>
          <w:sz w:val="24"/>
          <w:szCs w:val="24"/>
        </w:rPr>
        <w:t>лицензией фондовой биржи.</w:t>
      </w:r>
    </w:p>
    <w:p w:rsidR="002F5615" w:rsidRDefault="002F5615" w:rsidP="002F5615">
      <w:pPr>
        <w:spacing w:before="120"/>
        <w:ind w:firstLine="567"/>
        <w:jc w:val="both"/>
        <w:rPr>
          <w:sz w:val="24"/>
          <w:szCs w:val="24"/>
        </w:rPr>
      </w:pPr>
      <w:r w:rsidRPr="004A06AF">
        <w:rPr>
          <w:sz w:val="24"/>
          <w:szCs w:val="24"/>
        </w:rPr>
        <w:t>Система защиты прав эмитентов, профессиональных участников рынка и держателей ценных бумаг базируется на ответственности за нарушение законодательства Российской Федерации о ценных бумагах.</w:t>
      </w:r>
    </w:p>
    <w:p w:rsidR="002F5615" w:rsidRPr="004A06AF" w:rsidRDefault="002F5615" w:rsidP="002F5615">
      <w:pPr>
        <w:spacing w:before="120"/>
        <w:ind w:firstLine="567"/>
        <w:jc w:val="both"/>
        <w:rPr>
          <w:sz w:val="24"/>
          <w:szCs w:val="24"/>
        </w:rPr>
      </w:pPr>
      <w:r w:rsidRPr="004A06AF">
        <w:rPr>
          <w:sz w:val="24"/>
          <w:szCs w:val="24"/>
        </w:rPr>
        <w:t>Профессиональные участники рынка ценных бумаг могут быть лишены лицензий, если будет доказано, что путем предоставления умышленно искаженной информации о ценных бумагах, эмитентах и ценах, они манипулировали ценами на рынке и влияли на решения о покупке или продаже ценных бумаг. Профессиональная деятельность на рынке ценных бумаг, осуществляемая без лицензии, является незаконной. В отношении лиц, осуществляющих безлицензионную деятельность, ФКЦБ принимает меры к ее приостановлению, опубликовывает в средствах массовой информации сведения об этом и направляет материалы проверки в судебные органы РФ.</w:t>
      </w:r>
    </w:p>
    <w:p w:rsidR="002F5615" w:rsidRPr="004A06AF" w:rsidRDefault="002F5615" w:rsidP="002F5615">
      <w:pPr>
        <w:spacing w:before="120"/>
        <w:jc w:val="center"/>
        <w:rPr>
          <w:b/>
          <w:bCs/>
          <w:sz w:val="28"/>
          <w:szCs w:val="28"/>
        </w:rPr>
      </w:pPr>
      <w:r w:rsidRPr="004A06AF">
        <w:rPr>
          <w:b/>
          <w:bCs/>
          <w:sz w:val="28"/>
          <w:szCs w:val="28"/>
        </w:rPr>
        <w:t>3. Виды ценных бумаг на Российском рынке</w:t>
      </w:r>
    </w:p>
    <w:p w:rsidR="002F5615" w:rsidRPr="004A06AF" w:rsidRDefault="002F5615" w:rsidP="002F5615">
      <w:pPr>
        <w:spacing w:before="120"/>
        <w:jc w:val="center"/>
        <w:rPr>
          <w:b/>
          <w:bCs/>
          <w:sz w:val="28"/>
          <w:szCs w:val="28"/>
        </w:rPr>
      </w:pPr>
      <w:r w:rsidRPr="004A06AF">
        <w:rPr>
          <w:b/>
          <w:bCs/>
          <w:sz w:val="28"/>
          <w:szCs w:val="28"/>
        </w:rPr>
        <w:t>3.1 Государственные ценные бумаги</w:t>
      </w:r>
    </w:p>
    <w:p w:rsidR="002F5615" w:rsidRDefault="002F5615" w:rsidP="002F5615">
      <w:pPr>
        <w:spacing w:before="120"/>
        <w:ind w:firstLine="567"/>
        <w:jc w:val="both"/>
        <w:rPr>
          <w:sz w:val="24"/>
          <w:szCs w:val="24"/>
        </w:rPr>
      </w:pPr>
      <w:r w:rsidRPr="004A06AF">
        <w:rPr>
          <w:sz w:val="24"/>
          <w:szCs w:val="24"/>
        </w:rPr>
        <w:t>В настоящее время на рынке ценных бумаг большинства развитых стран государственные ценные бумаги занимают ведущее место. Выпуск государством ценных бумаг рассматривается как важнейшее средство кредитно-денежного регулирования экономики. Размещая займы, государство привлекает временно свободные денежные средства населения, банков, страховых и промышленных предприятий и т.п., тем самым уменьшая объем денежной массы в обращении, и наоборот.</w:t>
      </w:r>
    </w:p>
    <w:p w:rsidR="002F5615" w:rsidRDefault="002F5615" w:rsidP="002F5615">
      <w:pPr>
        <w:spacing w:before="120"/>
        <w:ind w:firstLine="567"/>
        <w:jc w:val="both"/>
        <w:rPr>
          <w:sz w:val="24"/>
          <w:szCs w:val="24"/>
        </w:rPr>
      </w:pPr>
      <w:r w:rsidRPr="004A06AF">
        <w:rPr>
          <w:sz w:val="24"/>
          <w:szCs w:val="24"/>
        </w:rPr>
        <w:t>Государствейные ценные бумаги — это ценные бумаги, эмитентом которых (заемщиком) является государство. Государственные ценные бумаги относятся к долговым и удостоверяют отношения займа, в котором должником выступает государственный орган власти или управления.</w:t>
      </w:r>
    </w:p>
    <w:p w:rsidR="002F5615" w:rsidRPr="004A06AF" w:rsidRDefault="002F5615" w:rsidP="002F5615">
      <w:pPr>
        <w:spacing w:before="120"/>
        <w:ind w:firstLine="567"/>
        <w:jc w:val="both"/>
        <w:rPr>
          <w:sz w:val="24"/>
          <w:szCs w:val="24"/>
        </w:rPr>
      </w:pPr>
      <w:r w:rsidRPr="004A06AF">
        <w:rPr>
          <w:sz w:val="24"/>
          <w:szCs w:val="24"/>
        </w:rPr>
        <w:t>Государство является самым крупным заемщиком на рынке ценных бумаг. В зависимости от характеристик эмитента государственные ценные бумаги подразделяются на:</w:t>
      </w:r>
    </w:p>
    <w:p w:rsidR="002F5615" w:rsidRPr="004A06AF" w:rsidRDefault="002F5615" w:rsidP="002F5615">
      <w:pPr>
        <w:spacing w:before="120"/>
        <w:ind w:firstLine="567"/>
        <w:jc w:val="both"/>
        <w:rPr>
          <w:sz w:val="24"/>
          <w:szCs w:val="24"/>
        </w:rPr>
      </w:pPr>
      <w:r w:rsidRPr="004A06AF">
        <w:rPr>
          <w:sz w:val="24"/>
          <w:szCs w:val="24"/>
        </w:rPr>
        <w:t>ценные бумаги центрального правительства (казначейские ценные бумаги), которые выпускаются некоторыми ключевыми министерствами (Министерством финансов и т.п.) в зависимости от особенностей структуры правительственных органов страны. Эти ценные бумаги называются прямыми;</w:t>
      </w:r>
    </w:p>
    <w:p w:rsidR="002F5615" w:rsidRPr="004A06AF" w:rsidRDefault="002F5615" w:rsidP="002F5615">
      <w:pPr>
        <w:spacing w:before="120"/>
        <w:ind w:firstLine="567"/>
        <w:jc w:val="both"/>
        <w:rPr>
          <w:sz w:val="24"/>
          <w:szCs w:val="24"/>
        </w:rPr>
      </w:pPr>
      <w:r w:rsidRPr="004A06AF">
        <w:rPr>
          <w:sz w:val="24"/>
          <w:szCs w:val="24"/>
        </w:rPr>
        <w:t>ценные бумаги местных органов власти (муниципальные ценные бумаги), которые выпускаются региональными и муниципальными органами власти;</w:t>
      </w:r>
    </w:p>
    <w:p w:rsidR="002F5615" w:rsidRDefault="002F5615" w:rsidP="002F5615">
      <w:pPr>
        <w:spacing w:before="120"/>
        <w:ind w:firstLine="567"/>
        <w:jc w:val="both"/>
        <w:rPr>
          <w:sz w:val="24"/>
          <w:szCs w:val="24"/>
        </w:rPr>
      </w:pPr>
      <w:r w:rsidRPr="004A06AF">
        <w:rPr>
          <w:sz w:val="24"/>
          <w:szCs w:val="24"/>
        </w:rPr>
        <w:t>ценные бумаги, выпускаемые правительственными учреждениями (отраслевыми министерствами) и государственными компаниями (например, в России — РАО «Газпром», РАО «ЕЭС России» и т.п.). Эти ценные бумаги выпускаются под правительственную гарантию и называются гарантированными.</w:t>
      </w:r>
    </w:p>
    <w:p w:rsidR="002F5615" w:rsidRDefault="002F5615" w:rsidP="002F5615">
      <w:pPr>
        <w:spacing w:before="120"/>
        <w:ind w:firstLine="567"/>
        <w:jc w:val="both"/>
        <w:rPr>
          <w:sz w:val="24"/>
          <w:szCs w:val="24"/>
        </w:rPr>
      </w:pPr>
      <w:r w:rsidRPr="004A06AF">
        <w:rPr>
          <w:sz w:val="24"/>
          <w:szCs w:val="24"/>
        </w:rPr>
        <w:t>В зависимости от свойства обращаемости на фондовых рынках государственные ценные бумаги подразделяются на рыночные и нерыночные.</w:t>
      </w:r>
    </w:p>
    <w:p w:rsidR="002F5615" w:rsidRDefault="002F5615" w:rsidP="002F5615">
      <w:pPr>
        <w:spacing w:before="120"/>
        <w:ind w:firstLine="567"/>
        <w:jc w:val="both"/>
        <w:rPr>
          <w:sz w:val="24"/>
          <w:szCs w:val="24"/>
        </w:rPr>
      </w:pPr>
      <w:r w:rsidRPr="004A06AF">
        <w:rPr>
          <w:sz w:val="24"/>
          <w:szCs w:val="24"/>
        </w:rPr>
        <w:t>Государственные рыночные ценные бумаги могут свободно продаваться и покупаться на биржевом и внебиржевом рынках. Среди них наиболее распространены казначейские векселя, казначейские ноты и облигации. Нерыночные государственные ценные бумаги — это ценные бумаги, которые не могут свободно обращаться на рынке. В отличие от рыночных бумаг они не подлежат купле-продаже, не могут быть проданы их владельцами третьим лицам и не могут использоваться в качестве обеспечения по ссудам. Возмещение по ним производится только непосредственно покупателю. К нерыночным ценным бумагам относятся: сберегательные сертификаты, сберегательные облигации, государственные выигрышные займы и др.</w:t>
      </w:r>
    </w:p>
    <w:p w:rsidR="002F5615" w:rsidRDefault="002F5615" w:rsidP="002F5615">
      <w:pPr>
        <w:spacing w:before="120"/>
        <w:ind w:firstLine="567"/>
        <w:jc w:val="both"/>
        <w:rPr>
          <w:sz w:val="24"/>
          <w:szCs w:val="24"/>
        </w:rPr>
      </w:pPr>
      <w:r w:rsidRPr="004A06AF">
        <w:rPr>
          <w:sz w:val="24"/>
          <w:szCs w:val="24"/>
        </w:rPr>
        <w:t>По срокам погашения займов Российский рынок имеет следующую классификацию: краткосрочные — до 1 года, среднесрочные — от 1 года до 3—4 лет, долгосрочные — от 4 лет.</w:t>
      </w:r>
    </w:p>
    <w:p w:rsidR="002F5615" w:rsidRDefault="002F5615" w:rsidP="002F5615">
      <w:pPr>
        <w:spacing w:before="120"/>
        <w:ind w:firstLine="567"/>
        <w:jc w:val="both"/>
        <w:rPr>
          <w:sz w:val="24"/>
          <w:szCs w:val="24"/>
        </w:rPr>
      </w:pPr>
      <w:r w:rsidRPr="004A06AF">
        <w:rPr>
          <w:sz w:val="24"/>
          <w:szCs w:val="24"/>
        </w:rPr>
        <w:t>В российской практике долговые ценные бумаги, которые гарантированы Правительством РФ, включаются в состав государственного внутреннего долга. На условия их выпуска и обращения накладываются ограничения,</w:t>
      </w:r>
      <w:r>
        <w:rPr>
          <w:sz w:val="24"/>
          <w:szCs w:val="24"/>
        </w:rPr>
        <w:t xml:space="preserve"> </w:t>
      </w:r>
      <w:r w:rsidRPr="004A06AF">
        <w:rPr>
          <w:sz w:val="24"/>
          <w:szCs w:val="24"/>
        </w:rPr>
        <w:t>предусмотренные Законом РФ «О государственном внутреннем долге Российской Федерации».</w:t>
      </w:r>
    </w:p>
    <w:p w:rsidR="002F5615" w:rsidRDefault="002F5615" w:rsidP="002F5615">
      <w:pPr>
        <w:spacing w:before="120"/>
        <w:ind w:firstLine="567"/>
        <w:jc w:val="both"/>
        <w:rPr>
          <w:sz w:val="24"/>
          <w:szCs w:val="24"/>
        </w:rPr>
      </w:pPr>
      <w:r w:rsidRPr="004A06AF">
        <w:rPr>
          <w:sz w:val="24"/>
          <w:szCs w:val="24"/>
        </w:rPr>
        <w:t>В России государственные ценные бумаги можно подразделить на федеральные (выпускаемые Правительством РФ), субфедеральные (выпускаемые правительствами субъектов Федерации) и муниципальные (выпускаемые местными органами власти).</w:t>
      </w:r>
    </w:p>
    <w:p w:rsidR="002F5615" w:rsidRDefault="002F5615" w:rsidP="002F5615">
      <w:pPr>
        <w:spacing w:before="120"/>
        <w:ind w:firstLine="567"/>
        <w:jc w:val="both"/>
        <w:rPr>
          <w:sz w:val="24"/>
          <w:szCs w:val="24"/>
        </w:rPr>
      </w:pPr>
      <w:r w:rsidRPr="004A06AF">
        <w:rPr>
          <w:sz w:val="24"/>
          <w:szCs w:val="24"/>
        </w:rPr>
        <w:t>Эмитентом государственных федеральных ценных бумаг по поручению Правительства является Министерство финансов РФ. Возврат денег и получение дохода по этим бумагам гарантированы государством.</w:t>
      </w:r>
    </w:p>
    <w:p w:rsidR="002F5615" w:rsidRPr="004A06AF" w:rsidRDefault="002F5615" w:rsidP="002F5615">
      <w:pPr>
        <w:spacing w:before="120"/>
        <w:ind w:firstLine="567"/>
        <w:jc w:val="both"/>
        <w:rPr>
          <w:sz w:val="24"/>
          <w:szCs w:val="24"/>
        </w:rPr>
      </w:pPr>
      <w:r w:rsidRPr="004A06AF">
        <w:rPr>
          <w:sz w:val="24"/>
          <w:szCs w:val="24"/>
        </w:rPr>
        <w:t>На российском рынке наибольшее распространение получили следующие виды государственных федеральных ценных бумаг:</w:t>
      </w:r>
    </w:p>
    <w:p w:rsidR="002F5615" w:rsidRPr="004A06AF" w:rsidRDefault="002F5615" w:rsidP="002F5615">
      <w:pPr>
        <w:spacing w:before="120"/>
        <w:ind w:firstLine="567"/>
        <w:jc w:val="both"/>
        <w:rPr>
          <w:sz w:val="24"/>
          <w:szCs w:val="24"/>
        </w:rPr>
      </w:pPr>
      <w:r w:rsidRPr="004A06AF">
        <w:rPr>
          <w:sz w:val="24"/>
          <w:szCs w:val="24"/>
        </w:rPr>
        <w:t>государственные краткосрочные бескупонные облигации (ГКО);</w:t>
      </w:r>
    </w:p>
    <w:p w:rsidR="002F5615" w:rsidRPr="004A06AF" w:rsidRDefault="002F5615" w:rsidP="002F5615">
      <w:pPr>
        <w:spacing w:before="120"/>
        <w:ind w:firstLine="567"/>
        <w:jc w:val="both"/>
        <w:rPr>
          <w:sz w:val="24"/>
          <w:szCs w:val="24"/>
        </w:rPr>
      </w:pPr>
      <w:r w:rsidRPr="004A06AF">
        <w:rPr>
          <w:sz w:val="24"/>
          <w:szCs w:val="24"/>
        </w:rPr>
        <w:t>облигации федерального займа с переменным купонным доходом (ОФЗ-ПК);</w:t>
      </w:r>
    </w:p>
    <w:p w:rsidR="002F5615" w:rsidRPr="004A06AF" w:rsidRDefault="002F5615" w:rsidP="002F5615">
      <w:pPr>
        <w:spacing w:before="120"/>
        <w:ind w:firstLine="567"/>
        <w:jc w:val="both"/>
        <w:rPr>
          <w:sz w:val="24"/>
          <w:szCs w:val="24"/>
        </w:rPr>
      </w:pPr>
      <w:r w:rsidRPr="004A06AF">
        <w:rPr>
          <w:sz w:val="24"/>
          <w:szCs w:val="24"/>
        </w:rPr>
        <w:t>облигации государственного сберегательного займа Российской Федерации (ОГСЗ);</w:t>
      </w:r>
    </w:p>
    <w:p w:rsidR="002F5615" w:rsidRPr="004A06AF" w:rsidRDefault="002F5615" w:rsidP="002F5615">
      <w:pPr>
        <w:spacing w:before="120"/>
        <w:ind w:firstLine="567"/>
        <w:jc w:val="both"/>
        <w:rPr>
          <w:sz w:val="24"/>
          <w:szCs w:val="24"/>
        </w:rPr>
      </w:pPr>
      <w:r w:rsidRPr="004A06AF">
        <w:rPr>
          <w:sz w:val="24"/>
          <w:szCs w:val="24"/>
        </w:rPr>
        <w:t>облигации внутреннего государственного валютного займа (ОВВЗ или ВЭБ);</w:t>
      </w:r>
    </w:p>
    <w:p w:rsidR="002F5615" w:rsidRPr="004A06AF" w:rsidRDefault="002F5615" w:rsidP="002F5615">
      <w:pPr>
        <w:spacing w:before="120"/>
        <w:ind w:firstLine="567"/>
        <w:jc w:val="both"/>
        <w:rPr>
          <w:sz w:val="24"/>
          <w:szCs w:val="24"/>
        </w:rPr>
      </w:pPr>
      <w:r w:rsidRPr="004A06AF">
        <w:rPr>
          <w:sz w:val="24"/>
          <w:szCs w:val="24"/>
        </w:rPr>
        <w:t>облигации РАО «Высокоскоростные магистрали» (РАО ВСМ), по которым были предоставлены государственные гарантии;</w:t>
      </w:r>
    </w:p>
    <w:p w:rsidR="002F5615" w:rsidRPr="004A06AF" w:rsidRDefault="002F5615" w:rsidP="002F5615">
      <w:pPr>
        <w:spacing w:before="120"/>
        <w:ind w:firstLine="567"/>
        <w:jc w:val="both"/>
        <w:rPr>
          <w:sz w:val="24"/>
          <w:szCs w:val="24"/>
        </w:rPr>
      </w:pPr>
      <w:r w:rsidRPr="004A06AF">
        <w:rPr>
          <w:sz w:val="24"/>
          <w:szCs w:val="24"/>
        </w:rPr>
        <w:t>золотые сертификаты;</w:t>
      </w:r>
    </w:p>
    <w:p w:rsidR="002F5615" w:rsidRDefault="002F5615" w:rsidP="002F5615">
      <w:pPr>
        <w:spacing w:before="120"/>
        <w:ind w:firstLine="567"/>
        <w:jc w:val="both"/>
        <w:rPr>
          <w:sz w:val="24"/>
          <w:szCs w:val="24"/>
        </w:rPr>
      </w:pPr>
      <w:r w:rsidRPr="004A06AF">
        <w:rPr>
          <w:sz w:val="24"/>
          <w:szCs w:val="24"/>
        </w:rPr>
        <w:t>векселя Министерства финансов выпуска 1995—1997 гг. в компенсацию коммерческим банкам просроченной задолженности со стороны предприятий и организаций агропромышленного сектора, а также предприятий, обеспечивающих завоз продуктов в районы Крайнего Севера.</w:t>
      </w:r>
    </w:p>
    <w:p w:rsidR="002F5615" w:rsidRDefault="002F5615" w:rsidP="002F5615">
      <w:pPr>
        <w:spacing w:before="120"/>
        <w:ind w:firstLine="567"/>
        <w:jc w:val="both"/>
        <w:rPr>
          <w:sz w:val="24"/>
          <w:szCs w:val="24"/>
        </w:rPr>
      </w:pPr>
      <w:r w:rsidRPr="004A06AF">
        <w:rPr>
          <w:sz w:val="24"/>
          <w:szCs w:val="24"/>
        </w:rPr>
        <w:t>Наибольшее распространение среди российских государственных ценных бумаг получили ГКО, которые являлись важным не инфляционным источником покрытия дефицита государственного бюджета.</w:t>
      </w:r>
    </w:p>
    <w:p w:rsidR="002F5615" w:rsidRDefault="002F5615" w:rsidP="002F5615">
      <w:pPr>
        <w:spacing w:before="120"/>
        <w:ind w:firstLine="567"/>
        <w:jc w:val="both"/>
        <w:rPr>
          <w:sz w:val="24"/>
          <w:szCs w:val="24"/>
        </w:rPr>
      </w:pPr>
      <w:r w:rsidRPr="004A06AF">
        <w:rPr>
          <w:sz w:val="24"/>
          <w:szCs w:val="24"/>
        </w:rPr>
        <w:t>Основными документами, регулирующими рынок ГКО, являлись постановления Правительства РФ и приказы Центрального банка РФ.</w:t>
      </w:r>
    </w:p>
    <w:p w:rsidR="002F5615" w:rsidRDefault="002F5615" w:rsidP="002F5615">
      <w:pPr>
        <w:spacing w:before="120"/>
        <w:ind w:firstLine="567"/>
        <w:jc w:val="both"/>
        <w:rPr>
          <w:sz w:val="24"/>
          <w:szCs w:val="24"/>
        </w:rPr>
      </w:pPr>
      <w:r w:rsidRPr="004A06AF">
        <w:rPr>
          <w:sz w:val="24"/>
          <w:szCs w:val="24"/>
        </w:rPr>
        <w:t>Эмиссия ГКО осуществлялась периодически в форме отдельных выпусков на срок до 1 года. Размещение их происходило с дисконтом от номинальной цены. Купонов ГКО не имели. Их выпуск производился в бездокументарной форме в виде записей на счетах «депо». Каждый выпуск оформлялся глобальным сертификатом в двух экземплярах, хранящихся в Минфине РФ и ЦБ РФ.</w:t>
      </w:r>
    </w:p>
    <w:p w:rsidR="002F5615" w:rsidRPr="004A06AF" w:rsidRDefault="002F5615" w:rsidP="002F5615">
      <w:pPr>
        <w:spacing w:before="120"/>
        <w:ind w:firstLine="567"/>
        <w:jc w:val="both"/>
        <w:rPr>
          <w:sz w:val="24"/>
          <w:szCs w:val="24"/>
        </w:rPr>
      </w:pPr>
      <w:r w:rsidRPr="004A06AF">
        <w:rPr>
          <w:sz w:val="24"/>
          <w:szCs w:val="24"/>
        </w:rPr>
        <w:t>Участники рынка ГКО подразделялись на три категории.</w:t>
      </w:r>
    </w:p>
    <w:p w:rsidR="002F5615" w:rsidRPr="004A06AF" w:rsidRDefault="002F5615" w:rsidP="002F5615">
      <w:pPr>
        <w:spacing w:before="120"/>
        <w:ind w:firstLine="567"/>
        <w:jc w:val="both"/>
        <w:rPr>
          <w:sz w:val="24"/>
          <w:szCs w:val="24"/>
        </w:rPr>
      </w:pPr>
      <w:r w:rsidRPr="004A06AF">
        <w:rPr>
          <w:sz w:val="24"/>
          <w:szCs w:val="24"/>
        </w:rPr>
        <w:t>1. Эмитентом ГКО являлось Министерство финансов РФ. Банк России являлся генеральным агентом Минфина по обслуживанию выпуска ГКО. Он должен был гарантировать своевременность погашения выпущенных облигаций.</w:t>
      </w:r>
    </w:p>
    <w:p w:rsidR="002F5615" w:rsidRPr="004A06AF" w:rsidRDefault="002F5615" w:rsidP="002F5615">
      <w:pPr>
        <w:spacing w:before="120"/>
        <w:ind w:firstLine="567"/>
        <w:jc w:val="both"/>
        <w:rPr>
          <w:sz w:val="24"/>
          <w:szCs w:val="24"/>
        </w:rPr>
      </w:pPr>
      <w:r w:rsidRPr="004A06AF">
        <w:rPr>
          <w:sz w:val="24"/>
          <w:szCs w:val="24"/>
        </w:rPr>
        <w:t>2. Дилером могло выступать любое юридическое лицо, являющееся в соответствии с действующим законодательством профессиональным участником рынка ценных бумаг и заключившее с ЦБ РФ договор на выполнение функций по обслуживанию операций с облигациями. Дилер мог заключать сделки от своего имени и за свой счет, а также выполнять функции финансового брокера, выступая в качестве комиссионера при заключении сделок с ГКО от своего имени, но за счет инвестора.</w:t>
      </w:r>
    </w:p>
    <w:p w:rsidR="002F5615" w:rsidRDefault="002F5615" w:rsidP="002F5615">
      <w:pPr>
        <w:spacing w:before="120"/>
        <w:ind w:firstLine="567"/>
        <w:jc w:val="both"/>
        <w:rPr>
          <w:sz w:val="24"/>
          <w:szCs w:val="24"/>
        </w:rPr>
      </w:pPr>
      <w:r w:rsidRPr="004A06AF">
        <w:rPr>
          <w:sz w:val="24"/>
          <w:szCs w:val="24"/>
        </w:rPr>
        <w:t>3. Инвесторами выступали юридические или физические лица, не являющиеся дилерами и приобретающие ГКО на праве собственности или ином вещном праве, имеющие право на владение ими в соответствии с действующим законодательством, условиями и правилами выпуска. Инвестор был обязан заключить с дилером договор, который определял порядок осуществления операций по счету «депо» инвестора и порядок учета прав на ГКО на этом счете, а также права, обязанности и ответственность сторон при выполнении этих операций.</w:t>
      </w:r>
    </w:p>
    <w:p w:rsidR="002F5615" w:rsidRDefault="002F5615" w:rsidP="002F5615">
      <w:pPr>
        <w:spacing w:before="120"/>
        <w:ind w:firstLine="567"/>
        <w:jc w:val="both"/>
        <w:rPr>
          <w:sz w:val="24"/>
          <w:szCs w:val="24"/>
        </w:rPr>
      </w:pPr>
      <w:r w:rsidRPr="004A06AF">
        <w:rPr>
          <w:sz w:val="24"/>
          <w:szCs w:val="24"/>
        </w:rPr>
        <w:t>Поддержание технологической части рынка — торговой, расчетной и депозитарной — осуществлялось организациями, являющимися техническими посредниками — Российской торговой системой, Расчетной палатой при РТС, Депозитарно-клиринговым центром.</w:t>
      </w:r>
    </w:p>
    <w:p w:rsidR="002F5615" w:rsidRDefault="002F5615" w:rsidP="002F5615">
      <w:pPr>
        <w:spacing w:before="120"/>
        <w:ind w:firstLine="567"/>
        <w:jc w:val="both"/>
        <w:rPr>
          <w:sz w:val="24"/>
          <w:szCs w:val="24"/>
        </w:rPr>
      </w:pPr>
      <w:r w:rsidRPr="004A06AF">
        <w:rPr>
          <w:sz w:val="24"/>
          <w:szCs w:val="24"/>
        </w:rPr>
        <w:t>Все операции по размещению и обращению, включая расчеты и учет владельцев облигаций, осуществлялись через учреждения Банка России или уполномоченные организации, определяемые ЦБ РФ.</w:t>
      </w:r>
    </w:p>
    <w:p w:rsidR="002F5615" w:rsidRDefault="002F5615" w:rsidP="002F5615">
      <w:pPr>
        <w:spacing w:before="120"/>
        <w:ind w:firstLine="567"/>
        <w:jc w:val="both"/>
        <w:rPr>
          <w:sz w:val="24"/>
          <w:szCs w:val="24"/>
        </w:rPr>
      </w:pPr>
      <w:r w:rsidRPr="004A06AF">
        <w:rPr>
          <w:sz w:val="24"/>
          <w:szCs w:val="24"/>
        </w:rPr>
        <w:t>Условия выпуска и обращения облигаций федерального займа с переменным купоном были утверждены постановлением Правительства РФ от 15 мая 1995 г. Согласно этому документу эмитентом ОФЗ-ПК от имени Правительства РФ выступал Минфин России.</w:t>
      </w:r>
    </w:p>
    <w:p w:rsidR="002F5615" w:rsidRDefault="002F5615" w:rsidP="002F5615">
      <w:pPr>
        <w:spacing w:before="120"/>
        <w:ind w:firstLine="567"/>
        <w:jc w:val="both"/>
        <w:rPr>
          <w:sz w:val="24"/>
          <w:szCs w:val="24"/>
        </w:rPr>
      </w:pPr>
      <w:r w:rsidRPr="004A06AF">
        <w:rPr>
          <w:sz w:val="24"/>
          <w:szCs w:val="24"/>
        </w:rPr>
        <w:t>Владельцами облигаций федеральных займов могли быть юридические и физические лица, которые являются как резидентами, так и нерезидентами России.</w:t>
      </w:r>
    </w:p>
    <w:p w:rsidR="002F5615" w:rsidRDefault="002F5615" w:rsidP="002F5615">
      <w:pPr>
        <w:spacing w:before="120"/>
        <w:ind w:firstLine="567"/>
        <w:jc w:val="both"/>
        <w:rPr>
          <w:sz w:val="24"/>
          <w:szCs w:val="24"/>
        </w:rPr>
      </w:pPr>
      <w:r w:rsidRPr="004A06AF">
        <w:rPr>
          <w:sz w:val="24"/>
          <w:szCs w:val="24"/>
        </w:rPr>
        <w:t>В обращении в настоящее время находятся ОФЗ-ПК с годичным и двухгодичным сроками обращения. Номинальная стоимость ОФЗ-ПК — 1 млн руб. (в ценах 1997 г.). Минфин России по согласованию с ЦБ РФ установил для каждого отдельного выпуска ОФЗ-ПК объем, порядок расчета купонного дохода, дату размещения, дату погашения и даты выплаты купонного дохода.</w:t>
      </w:r>
    </w:p>
    <w:p w:rsidR="002F5615" w:rsidRPr="004A06AF" w:rsidRDefault="002F5615" w:rsidP="002F5615">
      <w:pPr>
        <w:spacing w:before="120"/>
        <w:ind w:firstLine="567"/>
        <w:jc w:val="both"/>
        <w:rPr>
          <w:sz w:val="24"/>
          <w:szCs w:val="24"/>
        </w:rPr>
      </w:pPr>
      <w:r w:rsidRPr="004A06AF">
        <w:rPr>
          <w:sz w:val="24"/>
          <w:szCs w:val="24"/>
        </w:rPr>
        <w:t>Доход по ОФЗ-ПК в общем случае должен складываться из трех основных составляющих, определяющихся на основе доходности по государственным краткосрочным облигациям:</w:t>
      </w:r>
    </w:p>
    <w:p w:rsidR="002F5615" w:rsidRPr="004A06AF" w:rsidRDefault="002F5615" w:rsidP="002F5615">
      <w:pPr>
        <w:spacing w:before="120"/>
        <w:ind w:firstLine="567"/>
        <w:jc w:val="both"/>
        <w:rPr>
          <w:sz w:val="24"/>
          <w:szCs w:val="24"/>
        </w:rPr>
      </w:pPr>
      <w:r w:rsidRPr="004A06AF">
        <w:rPr>
          <w:sz w:val="24"/>
          <w:szCs w:val="24"/>
        </w:rPr>
        <w:t>дисконта (разницы между номинальной стоимостью и ценой размещения), с которым ОФЗ-ПК могут размещаться на аукционе;</w:t>
      </w:r>
    </w:p>
    <w:p w:rsidR="002F5615" w:rsidRPr="004A06AF" w:rsidRDefault="002F5615" w:rsidP="002F5615">
      <w:pPr>
        <w:spacing w:before="120"/>
        <w:ind w:firstLine="567"/>
        <w:jc w:val="both"/>
        <w:rPr>
          <w:sz w:val="24"/>
          <w:szCs w:val="24"/>
        </w:rPr>
      </w:pPr>
      <w:r w:rsidRPr="004A06AF">
        <w:rPr>
          <w:sz w:val="24"/>
          <w:szCs w:val="24"/>
        </w:rPr>
        <w:t>купонного дохода, который согласно условиям эмиссии должен выплачиваться по каждому выпуску ОФЗ-ПК примерно один раз в квартал (размер купонного дохода не является постоянным, а определяется и устанавливается поквартально как средневзвешенная доходность к погашению выпусков ГКО на вторичных торгах). Кроме того, при досрочной реализации ОФЗ-ПК владельцу должен был выплачиваться накопленный к этому моменту купонный доход;</w:t>
      </w:r>
    </w:p>
    <w:p w:rsidR="002F5615" w:rsidRDefault="002F5615" w:rsidP="002F5615">
      <w:pPr>
        <w:spacing w:before="120"/>
        <w:ind w:firstLine="567"/>
        <w:jc w:val="both"/>
        <w:rPr>
          <w:sz w:val="24"/>
          <w:szCs w:val="24"/>
        </w:rPr>
      </w:pPr>
      <w:r w:rsidRPr="004A06AF">
        <w:rPr>
          <w:sz w:val="24"/>
          <w:szCs w:val="24"/>
        </w:rPr>
        <w:t>колебания цен на вторичном рынке (в случае продажи ОФЗ-ПК до наступления срока погашения).</w:t>
      </w:r>
    </w:p>
    <w:p w:rsidR="002F5615" w:rsidRDefault="002F5615" w:rsidP="002F5615">
      <w:pPr>
        <w:spacing w:before="120"/>
        <w:ind w:firstLine="567"/>
        <w:jc w:val="both"/>
        <w:rPr>
          <w:sz w:val="24"/>
          <w:szCs w:val="24"/>
        </w:rPr>
      </w:pPr>
      <w:r w:rsidRPr="004A06AF">
        <w:rPr>
          <w:sz w:val="24"/>
          <w:szCs w:val="24"/>
        </w:rPr>
        <w:t>Механизм ГКО-ОФЗ в том виде, в каком он существовал в России во второй половине 90-х гг., работал более или менее эффективно лишь при обязательном сочетании двух условий. Во-первых, приток новых средств на рынок должен был превышать размеры погашения, чтобы разница могла использоваться в бюджетных целях. Во-вторых, средства от погашения хотя бы частично должны были вкладываться в новые выпуски, а не выводиться с рынка. В противном случае вся эта система превращается в обузу для государства: вместо источника бюджетных средств появляются дополнительные расходы по погашению обязательств, а в отношении нерезидентов требуются еще и валютные затраты для перевода их средств за границу.</w:t>
      </w:r>
    </w:p>
    <w:p w:rsidR="002F5615" w:rsidRDefault="002F5615" w:rsidP="002F5615">
      <w:pPr>
        <w:spacing w:before="120"/>
        <w:ind w:firstLine="567"/>
        <w:jc w:val="both"/>
        <w:rPr>
          <w:sz w:val="24"/>
          <w:szCs w:val="24"/>
        </w:rPr>
      </w:pPr>
      <w:r w:rsidRPr="004A06AF">
        <w:rPr>
          <w:sz w:val="24"/>
          <w:szCs w:val="24"/>
        </w:rPr>
        <w:t>Сейчас рынок ГКО фактически разрушен. Разрушение рынка ГКО-ОФЗ грозит потерей очень важного элемента финансового устройства, используемого всеми цивилизованными странами мира, а именно системы государственного кредита. В результате даже при бездефицитном бюджете может возникнуть очень серьезная проблема покрытия кассовых разрывов, тем более что ситуация, касающаяся сбора налогов, далека от совершенства.</w:t>
      </w:r>
    </w:p>
    <w:p w:rsidR="002F5615" w:rsidRDefault="002F5615" w:rsidP="002F5615">
      <w:pPr>
        <w:spacing w:before="120"/>
        <w:ind w:firstLine="567"/>
        <w:jc w:val="both"/>
        <w:rPr>
          <w:sz w:val="24"/>
          <w:szCs w:val="24"/>
        </w:rPr>
      </w:pPr>
      <w:r w:rsidRPr="004A06AF">
        <w:rPr>
          <w:sz w:val="24"/>
          <w:szCs w:val="24"/>
        </w:rPr>
        <w:t>Говоря о реструктуризации долга по ГКО-ОФЗ, следует отметить, что суть и основная привлекательность этих ценных бумаг — в их высокой ликвидности. Их обмен, согласно предлагаемым правилам реструктуризации, на малоликвидные бумаги с дальними сроками погашения вдвойне ущемляет интересы держателей. Во-первых, им не возвращают деньги к тому моменту, который заранее и безусловно был закреплен в обязательства и на который они рассчитывали. Во-вторых, сушествует реальная опасность, что за длительный период отсрочки погашения новые бумаги существенно обесценятся.</w:t>
      </w:r>
    </w:p>
    <w:p w:rsidR="002F5615" w:rsidRDefault="002F5615" w:rsidP="002F5615">
      <w:pPr>
        <w:spacing w:before="120"/>
        <w:ind w:firstLine="567"/>
        <w:jc w:val="both"/>
        <w:rPr>
          <w:sz w:val="24"/>
          <w:szCs w:val="24"/>
        </w:rPr>
      </w:pPr>
      <w:r w:rsidRPr="004A06AF">
        <w:rPr>
          <w:sz w:val="24"/>
          <w:szCs w:val="24"/>
        </w:rPr>
        <w:t>Рынок ОГСЗ — самый молодой сектор на рынке государственных облигаций в России. Целью их выпуска было привлечение средств населения для финансирования государственного долга. Поэтому данным ценным бумагам придавались такие инвестиционные характеристики, которые позволили бы им стать привлекательными в глазах индивидуальных инвесторов, при этом условия их обращения максимально удобны для населения. Для этого ОГСЗ были выпущены в бумажной (наличной) форме с номиналом, сопоставимым даже с незначительными сбережениями, — 100 тыс. руб. и 500 тыс. руб. в ценах 1997 г. (из рыночных государственных ценных бумаг они самые низкономинальные), сроком на один год с четырьмя купонами. Передача прав по этим бумагам осуществлялась путем простого вручения, а получить ежеквартально причитающиеся купонные выплаты можно было в любом отделении Сбербанка России.</w:t>
      </w:r>
    </w:p>
    <w:p w:rsidR="002F5615" w:rsidRPr="004A06AF" w:rsidRDefault="002F5615" w:rsidP="002F5615">
      <w:pPr>
        <w:spacing w:before="120"/>
        <w:ind w:firstLine="567"/>
        <w:jc w:val="both"/>
        <w:rPr>
          <w:sz w:val="24"/>
          <w:szCs w:val="24"/>
        </w:rPr>
      </w:pPr>
      <w:r w:rsidRPr="004A06AF">
        <w:rPr>
          <w:sz w:val="24"/>
          <w:szCs w:val="24"/>
        </w:rPr>
        <w:t>Однако эти бумаги оказались настолько привлекательны для институциональных инвесторов, что основными операторами в данном секторе фондового рынка стали коммерческие банки, а преобладающей сферой торговли — внебиржевой межбанковский рынок. Это объясняется рядом причин:</w:t>
      </w:r>
    </w:p>
    <w:p w:rsidR="002F5615" w:rsidRPr="004A06AF" w:rsidRDefault="002F5615" w:rsidP="002F5615">
      <w:pPr>
        <w:spacing w:before="120"/>
        <w:ind w:firstLine="567"/>
        <w:jc w:val="both"/>
        <w:rPr>
          <w:sz w:val="24"/>
          <w:szCs w:val="24"/>
        </w:rPr>
      </w:pPr>
      <w:r w:rsidRPr="004A06AF">
        <w:rPr>
          <w:sz w:val="24"/>
          <w:szCs w:val="24"/>
        </w:rPr>
        <w:t>рынок ОГСЗ в меныпей степени регулируется, чем остальные секторы торговли государственными облигациями, и операторы на нем имеют более широкие возможности в проведении спекулятивных операций;</w:t>
      </w:r>
    </w:p>
    <w:p w:rsidR="002F5615" w:rsidRPr="004A06AF" w:rsidRDefault="002F5615" w:rsidP="002F5615">
      <w:pPr>
        <w:spacing w:before="120"/>
        <w:ind w:firstLine="567"/>
        <w:jc w:val="both"/>
        <w:rPr>
          <w:sz w:val="24"/>
          <w:szCs w:val="24"/>
        </w:rPr>
      </w:pPr>
      <w:r w:rsidRPr="004A06AF">
        <w:rPr>
          <w:sz w:val="24"/>
          <w:szCs w:val="24"/>
        </w:rPr>
        <w:t>при оплате рблигаций наличными средствами юридические лица могут и не заключать договор и минимизировать формальности по оформлению сделки;</w:t>
      </w:r>
    </w:p>
    <w:p w:rsidR="002F5615" w:rsidRDefault="002F5615" w:rsidP="002F5615">
      <w:pPr>
        <w:spacing w:before="120"/>
        <w:ind w:firstLine="567"/>
        <w:jc w:val="both"/>
        <w:rPr>
          <w:sz w:val="24"/>
          <w:szCs w:val="24"/>
        </w:rPr>
      </w:pPr>
      <w:r w:rsidRPr="004A06AF">
        <w:rPr>
          <w:sz w:val="24"/>
          <w:szCs w:val="24"/>
        </w:rPr>
        <w:t>данные облигации очень удобны при использовании в качестве залога.</w:t>
      </w:r>
    </w:p>
    <w:p w:rsidR="002F5615" w:rsidRDefault="002F5615" w:rsidP="002F5615">
      <w:pPr>
        <w:spacing w:before="120"/>
        <w:ind w:firstLine="567"/>
        <w:jc w:val="both"/>
        <w:rPr>
          <w:sz w:val="24"/>
          <w:szCs w:val="24"/>
        </w:rPr>
      </w:pPr>
      <w:r w:rsidRPr="004A06AF">
        <w:rPr>
          <w:sz w:val="24"/>
          <w:szCs w:val="24"/>
        </w:rPr>
        <w:t>ОВВЗ были выпущены в 1993 и 1996 гг. для оформления задолженности владельцам «замороженных» счетов во Внешэкономбанке. Рынок ОВВЗ в настоящее время является вторым по объему после рынка ГКО-ОФЗ. Нормативным документом, регулирующим выпуск и обращение ОВВЗ, является постановление Правительства Российской Федерации от 15 марта 1993 г. «Об утверждении условий выпуска внутреннего государственного валютного займа». ОВВЗ выпущены в документарной форме. Номинал выражен в долларах США (1000, 10 000 и 100 000 долл. США) со сроком погашения в зависимости от выпуска до 2011 г.</w:t>
      </w:r>
    </w:p>
    <w:p w:rsidR="002F5615" w:rsidRDefault="002F5615" w:rsidP="002F5615">
      <w:pPr>
        <w:spacing w:before="120"/>
        <w:ind w:firstLine="567"/>
        <w:jc w:val="both"/>
        <w:rPr>
          <w:sz w:val="24"/>
          <w:szCs w:val="24"/>
        </w:rPr>
      </w:pPr>
      <w:r w:rsidRPr="004A06AF">
        <w:rPr>
          <w:sz w:val="24"/>
          <w:szCs w:val="24"/>
        </w:rPr>
        <w:t>Неотъемлемой частью облигаций является комплект из купонов, количество которых определяется сроком погашения облигаций. По ОВВЗ ежегодно 14 мая выплачивается купонный доход в долларах США в размере 3% годовых к номиналу.</w:t>
      </w:r>
    </w:p>
    <w:p w:rsidR="002F5615" w:rsidRDefault="002F5615" w:rsidP="002F5615">
      <w:pPr>
        <w:spacing w:before="120"/>
        <w:ind w:firstLine="567"/>
        <w:jc w:val="both"/>
        <w:rPr>
          <w:sz w:val="24"/>
          <w:szCs w:val="24"/>
        </w:rPr>
      </w:pPr>
      <w:r w:rsidRPr="004A06AF">
        <w:rPr>
          <w:sz w:val="24"/>
          <w:szCs w:val="24"/>
        </w:rPr>
        <w:t>ОВВЗ являются валютными ценностями, могут обрашаться на территории Российской Федерации с учетом требований валютного законодательства без специальных разрешений Банка России.</w:t>
      </w:r>
    </w:p>
    <w:p w:rsidR="002F5615" w:rsidRDefault="002F5615" w:rsidP="002F5615">
      <w:pPr>
        <w:spacing w:before="120"/>
        <w:ind w:firstLine="567"/>
        <w:jc w:val="both"/>
        <w:rPr>
          <w:sz w:val="24"/>
          <w:szCs w:val="24"/>
        </w:rPr>
      </w:pPr>
      <w:r w:rsidRPr="004A06AF">
        <w:rPr>
          <w:sz w:val="24"/>
          <w:szCs w:val="24"/>
        </w:rPr>
        <w:t>Денежные обязательства, возникшие в процессе обращения облигаций, могут быть выражены и оплачены в безналичном порядке как в рублях, так и в иностранной валюте.</w:t>
      </w:r>
    </w:p>
    <w:p w:rsidR="002F5615" w:rsidRDefault="002F5615" w:rsidP="002F5615">
      <w:pPr>
        <w:spacing w:before="120"/>
        <w:ind w:firstLine="567"/>
        <w:jc w:val="both"/>
        <w:rPr>
          <w:sz w:val="24"/>
          <w:szCs w:val="24"/>
        </w:rPr>
      </w:pPr>
      <w:r w:rsidRPr="004A06AF">
        <w:rPr>
          <w:sz w:val="24"/>
          <w:szCs w:val="24"/>
        </w:rPr>
        <w:t>При приобретении ОВВЗ на вторичном рынке в цену сделки включается часть накопленного купонного дохода, если покупка-продажа валютных облигаций производится через какое-то количество дней со дня начала купонного периода.</w:t>
      </w:r>
    </w:p>
    <w:p w:rsidR="002F5615" w:rsidRPr="004A06AF" w:rsidRDefault="002F5615" w:rsidP="002F5615">
      <w:pPr>
        <w:spacing w:before="120"/>
        <w:jc w:val="center"/>
        <w:rPr>
          <w:b/>
          <w:bCs/>
          <w:sz w:val="28"/>
          <w:szCs w:val="28"/>
        </w:rPr>
      </w:pPr>
      <w:r w:rsidRPr="004A06AF">
        <w:rPr>
          <w:b/>
          <w:bCs/>
          <w:sz w:val="28"/>
          <w:szCs w:val="28"/>
        </w:rPr>
        <w:t>3.2 Муниципальные ценные бумаги</w:t>
      </w:r>
    </w:p>
    <w:p w:rsidR="002F5615" w:rsidRDefault="002F5615" w:rsidP="002F5615">
      <w:pPr>
        <w:spacing w:before="120"/>
        <w:ind w:firstLine="567"/>
        <w:jc w:val="both"/>
        <w:rPr>
          <w:sz w:val="24"/>
          <w:szCs w:val="24"/>
        </w:rPr>
      </w:pPr>
      <w:r w:rsidRPr="004A06AF">
        <w:rPr>
          <w:sz w:val="24"/>
          <w:szCs w:val="24"/>
        </w:rPr>
        <w:t>Самым распространенным типом муниципальных ценных бумаг являются муниципальные облигации, которые представляют собой обязательства по возмещению долга к определенному сроку с выплатой фиксированных процентов. С точки зрения надежности помещения капитала муниципальные облигации стоят на втором месте после государственных ценных бумаг правительства.</w:t>
      </w:r>
    </w:p>
    <w:p w:rsidR="002F5615" w:rsidRDefault="002F5615" w:rsidP="002F5615">
      <w:pPr>
        <w:spacing w:before="120"/>
        <w:ind w:firstLine="567"/>
        <w:jc w:val="both"/>
        <w:rPr>
          <w:sz w:val="24"/>
          <w:szCs w:val="24"/>
        </w:rPr>
      </w:pPr>
      <w:r w:rsidRPr="004A06AF">
        <w:rPr>
          <w:sz w:val="24"/>
          <w:szCs w:val="24"/>
        </w:rPr>
        <w:t>По целям привлечения средств муниципальные займы можно разделить на инвестиционные, социальные, покрывающие дефицит бюджета; кроме того, возможна комбинация любых перечисленных выще целей.</w:t>
      </w:r>
    </w:p>
    <w:p w:rsidR="002F5615" w:rsidRDefault="002F5615" w:rsidP="002F5615">
      <w:pPr>
        <w:spacing w:before="120"/>
        <w:ind w:firstLine="567"/>
        <w:jc w:val="both"/>
        <w:rPr>
          <w:sz w:val="24"/>
          <w:szCs w:val="24"/>
        </w:rPr>
      </w:pPr>
      <w:r w:rsidRPr="004A06AF">
        <w:rPr>
          <w:sz w:val="24"/>
          <w:szCs w:val="24"/>
        </w:rPr>
        <w:t>Инвестиционные займы предназначены для реализации какого-либо инвестиционного проекта. Соответственно погашение и выплаты процентов по ним должны осуществляться за счет прибыли от этого проекта.</w:t>
      </w:r>
    </w:p>
    <w:p w:rsidR="002F5615" w:rsidRDefault="002F5615" w:rsidP="002F5615">
      <w:pPr>
        <w:spacing w:before="120"/>
        <w:ind w:firstLine="567"/>
        <w:jc w:val="both"/>
        <w:rPr>
          <w:sz w:val="24"/>
          <w:szCs w:val="24"/>
        </w:rPr>
      </w:pPr>
      <w:r w:rsidRPr="004A06AF">
        <w:rPr>
          <w:sz w:val="24"/>
          <w:szCs w:val="24"/>
        </w:rPr>
        <w:t>Примером социального займа является жилищный заем. Облигации ведомств жилищного строительства выпускаются для финансирования строительства домов с низкой квартирной платой. Выплаты по ним, если пользоваться опытом развитых стран, гарантирует государственное ведомство жилищного строительства, что делает эти облигации бумагами высокого класса — наравне с государственными.</w:t>
      </w:r>
    </w:p>
    <w:p w:rsidR="002F5615" w:rsidRDefault="002F5615" w:rsidP="002F5615">
      <w:pPr>
        <w:spacing w:before="120"/>
        <w:ind w:firstLine="567"/>
        <w:jc w:val="both"/>
        <w:rPr>
          <w:sz w:val="24"/>
          <w:szCs w:val="24"/>
        </w:rPr>
      </w:pPr>
      <w:r w:rsidRPr="004A06AF">
        <w:rPr>
          <w:sz w:val="24"/>
          <w:szCs w:val="24"/>
        </w:rPr>
        <w:t xml:space="preserve">Надежность и ликвидность муниципальных облигаций позволяет сделать их действенным инструментом привлечения инвестиций в реалъное производство. </w:t>
      </w:r>
    </w:p>
    <w:p w:rsidR="002F5615" w:rsidRDefault="002F5615" w:rsidP="002F5615">
      <w:pPr>
        <w:spacing w:before="120"/>
        <w:ind w:firstLine="567"/>
        <w:jc w:val="both"/>
        <w:rPr>
          <w:sz w:val="24"/>
          <w:szCs w:val="24"/>
        </w:rPr>
      </w:pPr>
      <w:r w:rsidRPr="004A06AF">
        <w:rPr>
          <w:sz w:val="24"/>
          <w:szCs w:val="24"/>
        </w:rPr>
        <w:t>Большую группу муниципальных облигаций составляют так называемые облигации по общим обязательствам. Обеспечением этих бумаг служат все налоговые поступления, находящиеся в распоряжении организации или территориальной администрации, выпустившей их. А так как местные органы власти имеют право в случае крайней необходимости увеличить поимущественный налог для сбора средств в счет погашения долга, такой вид облигаций считается надежным помещением капитала.</w:t>
      </w:r>
    </w:p>
    <w:p w:rsidR="002F5615" w:rsidRDefault="002F5615" w:rsidP="002F5615">
      <w:pPr>
        <w:spacing w:before="120"/>
        <w:ind w:firstLine="567"/>
        <w:jc w:val="both"/>
        <w:rPr>
          <w:sz w:val="24"/>
          <w:szCs w:val="24"/>
        </w:rPr>
      </w:pPr>
      <w:r w:rsidRPr="004A06AF">
        <w:rPr>
          <w:sz w:val="24"/>
          <w:szCs w:val="24"/>
        </w:rPr>
        <w:t>В России местные власти, лишившись существенной финансовой поддержки центра и не располагая тем спектром эмиссионных и фискальных инструментов, которым обладают федеральные власти, в полной мере ощутили необходимость изыскания иных способов привлечения финансовых ресурсов. Один из них — эмиссия ценных бумаг (облигаций), создание и развитие их вторичного рынка. Такой способ привлечения денежных ресурсов при правильной организации работы позволяет решать проблемы финансирования целевых программ, покрытия бюджетного дефицита и усиления контролируемости местного финансового рынка.</w:t>
      </w:r>
    </w:p>
    <w:p w:rsidR="002F5615" w:rsidRDefault="002F5615" w:rsidP="002F5615">
      <w:pPr>
        <w:spacing w:before="120"/>
        <w:ind w:firstLine="567"/>
        <w:jc w:val="both"/>
        <w:rPr>
          <w:sz w:val="24"/>
          <w:szCs w:val="24"/>
        </w:rPr>
      </w:pPr>
      <w:r w:rsidRPr="004A06AF">
        <w:rPr>
          <w:sz w:val="24"/>
          <w:szCs w:val="24"/>
        </w:rPr>
        <w:t>Несмотря на настороженное отношение инвесторов к муниципальным облигациям, связанное с риском их непогашения в условиях финансового кризиса в России, эмиссия этих бумаг по-прежнему является одним из путей привлечения регионами финансовых ресурсов. В этой связи региональные эмитенты сталкиваются с рядом проблем и трудностей.</w:t>
      </w:r>
    </w:p>
    <w:p w:rsidR="002F5615" w:rsidRDefault="002F5615" w:rsidP="002F5615">
      <w:pPr>
        <w:spacing w:before="120"/>
        <w:ind w:firstLine="567"/>
        <w:jc w:val="both"/>
        <w:rPr>
          <w:sz w:val="24"/>
          <w:szCs w:val="24"/>
        </w:rPr>
      </w:pPr>
      <w:r w:rsidRPr="004A06AF">
        <w:rPr>
          <w:sz w:val="24"/>
          <w:szCs w:val="24"/>
        </w:rPr>
        <w:t>Одной из наиболее сложных проблем является выбор способа размещения муниципальных облигаций. Существуют два основных подхода к решению задачи размещения субфедеральных и муниципальных облигаций: посредством андеррайтинга (покупки ценных бумаг нового выпуска инвестиционной компанией у компании-эмитента с целью их последующей перепродажи) с последующим обращением на вторичном внебиржевом или региональном биржевом рынке или посредством первичного размещения в форме аукциона и последующим биржевым обращением.</w:t>
      </w:r>
    </w:p>
    <w:p w:rsidR="002F5615" w:rsidRDefault="002F5615" w:rsidP="002F5615">
      <w:pPr>
        <w:spacing w:before="120"/>
        <w:ind w:firstLine="567"/>
        <w:jc w:val="both"/>
        <w:rPr>
          <w:sz w:val="24"/>
          <w:szCs w:val="24"/>
        </w:rPr>
      </w:pPr>
      <w:r w:rsidRPr="004A06AF">
        <w:rPr>
          <w:sz w:val="24"/>
          <w:szCs w:val="24"/>
        </w:rPr>
        <w:t>Если у региона отсутствует репутация надежного заемщика, что характерно для большинства регионов России, то размещаемые по схеме андеррайтинга ценные бумаги изначально не являются высоколиквидными. Низкая ликвидность, кроме того, объясняется недостатком информации о финансовом состоянии эмитента, отсутствием рекламы в средствах массовой информации и в среде потенциальных участников рынка, отсутствием у большинства региональных администраций опыта по обслуживанию дол-говых инструментов.</w:t>
      </w:r>
    </w:p>
    <w:p w:rsidR="002F5615" w:rsidRDefault="002F5615" w:rsidP="002F5615">
      <w:pPr>
        <w:spacing w:before="120"/>
        <w:ind w:firstLine="567"/>
        <w:jc w:val="both"/>
        <w:rPr>
          <w:sz w:val="24"/>
          <w:szCs w:val="24"/>
        </w:rPr>
      </w:pPr>
      <w:r w:rsidRPr="004A06AF">
        <w:rPr>
          <w:sz w:val="24"/>
          <w:szCs w:val="24"/>
        </w:rPr>
        <w:t>Размещение облигаций по схеме андеррайтинга хотя и гарантирует определенные объемы размещения, но не создает предпосылок для дальнейшего развития рынка и повышения ликвидности бумаг, поскольку такие бумаги ассоциируются у инвестора с высокорисковым долгосрочным вложением.</w:t>
      </w:r>
    </w:p>
    <w:p w:rsidR="002F5615" w:rsidRDefault="002F5615" w:rsidP="002F5615">
      <w:pPr>
        <w:spacing w:before="120"/>
        <w:ind w:firstLine="567"/>
        <w:jc w:val="both"/>
        <w:rPr>
          <w:sz w:val="24"/>
          <w:szCs w:val="24"/>
        </w:rPr>
      </w:pPr>
      <w:r w:rsidRPr="004A06AF">
        <w:rPr>
          <w:sz w:val="24"/>
          <w:szCs w:val="24"/>
        </w:rPr>
        <w:t>Схема размещения через андеррайтинг целесообразна, если бумага (заемщик) уже известна на рынке (т.е. не на стадии первых траншей внутренней эмиссионной программы). В противном случае выкуп андеррайтером части или всего объема выпуска по ценам, зафиксированным на момент подписания сторонами соответствующего договора, может привести к несоблюдению интересов эмитента и завышению стоимости заимствований. Кроме того, в нынешней российской рыночной ситуации андеррайтинг снижает в глазах потенциальных инвесторов рейтинг бумаги, позволяя предположить несоответствие уровня долговых обязательств эмитента требованиям крупных бирж.</w:t>
      </w:r>
    </w:p>
    <w:p w:rsidR="002F5615" w:rsidRDefault="002F5615" w:rsidP="002F5615">
      <w:pPr>
        <w:spacing w:before="120"/>
        <w:ind w:firstLine="567"/>
        <w:jc w:val="both"/>
        <w:rPr>
          <w:sz w:val="24"/>
          <w:szCs w:val="24"/>
        </w:rPr>
      </w:pPr>
      <w:r w:rsidRPr="004A06AF">
        <w:rPr>
          <w:sz w:val="24"/>
          <w:szCs w:val="24"/>
        </w:rPr>
        <w:t>Биржевое размещение позволяет максимально приблизить доходность размещаемых бумаг к текущей доходности аналогичных финансовых инструментов и, следовательно, максимально снизить стоимость заимствования для эмитента.</w:t>
      </w:r>
    </w:p>
    <w:p w:rsidR="002F5615" w:rsidRDefault="002F5615" w:rsidP="002F5615">
      <w:pPr>
        <w:spacing w:before="120"/>
        <w:ind w:firstLine="567"/>
        <w:jc w:val="both"/>
        <w:rPr>
          <w:sz w:val="24"/>
          <w:szCs w:val="24"/>
        </w:rPr>
      </w:pPr>
      <w:r w:rsidRPr="004A06AF">
        <w:rPr>
          <w:sz w:val="24"/>
          <w:szCs w:val="24"/>
        </w:rPr>
        <w:t>Аукцион дает возможность охватить максимальное число участников. В свою очередь, предпродажная подготовка бумаг, т.е. работа, проводимая генеральным агентом среди участников, позволяет еще до аукциона прогнозировать реальный объем размещения и вероятную цену.</w:t>
      </w:r>
    </w:p>
    <w:p w:rsidR="002F5615" w:rsidRDefault="002F5615" w:rsidP="002F5615">
      <w:pPr>
        <w:spacing w:before="120"/>
        <w:ind w:firstLine="567"/>
        <w:jc w:val="both"/>
        <w:rPr>
          <w:sz w:val="24"/>
          <w:szCs w:val="24"/>
        </w:rPr>
      </w:pPr>
      <w:r w:rsidRPr="004A06AF">
        <w:rPr>
          <w:sz w:val="24"/>
          <w:szCs w:val="24"/>
        </w:rPr>
        <w:t>Система биржевых аукционов облегчает приобретение ценных бумаг инвесторами, позволяет учесть взаимные интересы эмитента и участников рынка, выявляет реальную степень привлекательности размещаемой ценной бумаги.</w:t>
      </w:r>
    </w:p>
    <w:p w:rsidR="002F5615" w:rsidRDefault="002F5615" w:rsidP="002F5615">
      <w:pPr>
        <w:spacing w:before="120"/>
        <w:ind w:firstLine="567"/>
        <w:jc w:val="both"/>
        <w:rPr>
          <w:sz w:val="24"/>
          <w:szCs w:val="24"/>
        </w:rPr>
      </w:pPr>
      <w:r w:rsidRPr="004A06AF">
        <w:rPr>
          <w:sz w:val="24"/>
          <w:szCs w:val="24"/>
        </w:rPr>
        <w:t>Максимальный объем заимствований на внутреннем рынке в 1998 г. намечалось осуществить в форме размещения ГКО, ОФЗ, и облигаций нерыночных займов с различными купонами и сроками погашения. 17 августа 1998 г. Правительство РФ и Банк России выступили с совместным заявлением, в соответствии с которым погашение государственных ценных бумаг (ГКО и ОФЗ) со сроками погашения до 31 декабря 1999 г. включительно, должно было осуществляться путем переоформления их в новые ценные бумаги. В отношении упомянутых государственных ценных бумаг для юридических лиц осуществляется досрочный выкуп с реинвестированием полученных денежных средств от их погашения в равных долях во вновь выпускаемые государственные ценные бумаги; в отношении физических лиц принято решение погасить имеющиеся у них государственные облигации.</w:t>
      </w:r>
    </w:p>
    <w:p w:rsidR="002F5615" w:rsidRPr="004A06AF" w:rsidRDefault="002F5615" w:rsidP="002F5615">
      <w:pPr>
        <w:spacing w:before="120"/>
        <w:jc w:val="center"/>
        <w:rPr>
          <w:b/>
          <w:bCs/>
          <w:sz w:val="28"/>
          <w:szCs w:val="28"/>
        </w:rPr>
      </w:pPr>
      <w:r w:rsidRPr="004A06AF">
        <w:rPr>
          <w:b/>
          <w:bCs/>
          <w:sz w:val="28"/>
          <w:szCs w:val="28"/>
        </w:rPr>
        <w:t>4. Внебиржевой рынок ценных бумаг в РФ</w:t>
      </w:r>
    </w:p>
    <w:p w:rsidR="002F5615" w:rsidRDefault="002F5615" w:rsidP="002F5615">
      <w:pPr>
        <w:spacing w:before="120"/>
        <w:ind w:firstLine="567"/>
        <w:jc w:val="both"/>
        <w:rPr>
          <w:sz w:val="24"/>
          <w:szCs w:val="24"/>
        </w:rPr>
      </w:pPr>
      <w:r w:rsidRPr="004A06AF">
        <w:rPr>
          <w:sz w:val="24"/>
          <w:szCs w:val="24"/>
        </w:rPr>
        <w:t>В России ситуация отличается от мировой: биржевой рынок корпоративных бумаг не получил должного развития, а центром торговли корпоративными ценными бумагами стал организованный внебиржевой рынок ценных бумаг — Российская торговая система.</w:t>
      </w:r>
    </w:p>
    <w:p w:rsidR="002F5615" w:rsidRDefault="002F5615" w:rsidP="002F5615">
      <w:pPr>
        <w:spacing w:before="120"/>
        <w:ind w:firstLine="567"/>
        <w:jc w:val="both"/>
        <w:rPr>
          <w:sz w:val="24"/>
          <w:szCs w:val="24"/>
        </w:rPr>
      </w:pPr>
      <w:r w:rsidRPr="004A06AF">
        <w:rPr>
          <w:sz w:val="24"/>
          <w:szCs w:val="24"/>
        </w:rPr>
        <w:t>Некоммерческое партнерство Российская торговая система (РТС), являющееся сегодня крупнейшим внебиржевым организатором торговли на рынке ценных бумаг России, было создано в июле 1995 г. Большую роль при создании РТС сыграли иностранные инвесторы и их российские партнеры, заинтересованные в формировании в России организованного фондового рынка, как биржевого, так и внебиржевого.</w:t>
      </w:r>
    </w:p>
    <w:p w:rsidR="002F5615" w:rsidRDefault="002F5615" w:rsidP="002F5615">
      <w:pPr>
        <w:spacing w:before="120"/>
        <w:ind w:firstLine="567"/>
        <w:jc w:val="both"/>
        <w:rPr>
          <w:sz w:val="24"/>
          <w:szCs w:val="24"/>
        </w:rPr>
      </w:pPr>
      <w:r w:rsidRPr="004A06AF">
        <w:rPr>
          <w:sz w:val="24"/>
          <w:szCs w:val="24"/>
        </w:rPr>
        <w:t>РТС технически представляет собой компьютерную сеть, через которую осуществляется связь между пользователями и центральным компьютером, обслуживающим пользователей.</w:t>
      </w:r>
    </w:p>
    <w:p w:rsidR="002F5615" w:rsidRDefault="002F5615" w:rsidP="002F5615">
      <w:pPr>
        <w:spacing w:before="120"/>
        <w:ind w:firstLine="567"/>
        <w:jc w:val="both"/>
        <w:rPr>
          <w:sz w:val="24"/>
          <w:szCs w:val="24"/>
        </w:rPr>
      </w:pPr>
      <w:r w:rsidRPr="004A06AF">
        <w:rPr>
          <w:sz w:val="24"/>
          <w:szCs w:val="24"/>
        </w:rPr>
        <w:t>При отборе акций для регулярных торгов в РТС учитывается относительная стабильность положения компании-эмитента на рынке, а также отсутствие ограничений на покупку и продажу этих акций внешними инвесторами, т.е. присутствуют определенные требования к листингу.</w:t>
      </w:r>
    </w:p>
    <w:p w:rsidR="002F5615" w:rsidRPr="004A06AF" w:rsidRDefault="002F5615" w:rsidP="002F5615">
      <w:pPr>
        <w:spacing w:before="120"/>
        <w:ind w:firstLine="567"/>
        <w:jc w:val="both"/>
        <w:rPr>
          <w:sz w:val="24"/>
          <w:szCs w:val="24"/>
        </w:rPr>
      </w:pPr>
      <w:r w:rsidRPr="004A06AF">
        <w:rPr>
          <w:sz w:val="24"/>
          <w:szCs w:val="24"/>
        </w:rPr>
        <w:t>Для того чтобы стать участником внебиржевого рынка России (вступить в систему РТС), необходимо также оплатить вступительный взнос, регулярно вносить членские взносы и заключить договор с Техническим центром РТС. Только после этого можно пользоваться услугами системы на платной основе. Членам РТС для операций купли-продажи ценных бумаг доступны две системы, в которых осуществляется торговля ценными бумагами:</w:t>
      </w:r>
    </w:p>
    <w:p w:rsidR="002F5615" w:rsidRPr="004A06AF" w:rsidRDefault="002F5615" w:rsidP="002F5615">
      <w:pPr>
        <w:spacing w:before="120"/>
        <w:ind w:firstLine="567"/>
        <w:jc w:val="both"/>
        <w:rPr>
          <w:sz w:val="24"/>
          <w:szCs w:val="24"/>
        </w:rPr>
      </w:pPr>
      <w:r w:rsidRPr="004A06AF">
        <w:rPr>
          <w:sz w:val="24"/>
          <w:szCs w:val="24"/>
        </w:rPr>
        <w:t>РТС-1, где обращаются высоколиквидные ценные бумаги, ценные бумаги, которые имеют стабильную положительную репутацию у инвесторов и давно присутствуют на рынке;</w:t>
      </w:r>
    </w:p>
    <w:p w:rsidR="002F5615" w:rsidRDefault="002F5615" w:rsidP="002F5615">
      <w:pPr>
        <w:spacing w:before="120"/>
        <w:ind w:firstLine="567"/>
        <w:jc w:val="both"/>
        <w:rPr>
          <w:sz w:val="24"/>
          <w:szCs w:val="24"/>
        </w:rPr>
      </w:pPr>
      <w:r w:rsidRPr="004A06AF">
        <w:rPr>
          <w:sz w:val="24"/>
          <w:szCs w:val="24"/>
        </w:rPr>
        <w:t>РТС-2, созданная для торговли ценными бумагами с ограниченной ликвидностью, в основном это акции предприятий местного значения, вновь приватизированных предприятий, либо акции, которые по каким-либо причинам ранее низко оценивались на фондовом рынке.</w:t>
      </w:r>
    </w:p>
    <w:p w:rsidR="002F5615" w:rsidRDefault="002F5615" w:rsidP="002F5615">
      <w:pPr>
        <w:spacing w:before="120"/>
        <w:ind w:firstLine="567"/>
        <w:jc w:val="both"/>
        <w:rPr>
          <w:sz w:val="24"/>
          <w:szCs w:val="24"/>
        </w:rPr>
      </w:pPr>
      <w:r w:rsidRPr="004A06AF">
        <w:rPr>
          <w:sz w:val="24"/>
          <w:szCs w:val="24"/>
        </w:rPr>
        <w:t>Существует два режима доступа к системе: просмотр и торговля. В первом случае можно только наблюдать процесс торгов, а во втором — еще и участвовать в нем.</w:t>
      </w:r>
    </w:p>
    <w:p w:rsidR="002F5615" w:rsidRDefault="002F5615" w:rsidP="002F5615">
      <w:pPr>
        <w:spacing w:before="120"/>
        <w:ind w:firstLine="567"/>
        <w:jc w:val="both"/>
        <w:rPr>
          <w:sz w:val="24"/>
          <w:szCs w:val="24"/>
        </w:rPr>
      </w:pPr>
      <w:r w:rsidRPr="004A06AF">
        <w:rPr>
          <w:sz w:val="24"/>
          <w:szCs w:val="24"/>
        </w:rPr>
        <w:t>К торговле в РТС допускаются ценные бумаги только российских эмитентов. Инициатором допуска может быть либо участник торговли в системе, либо эмитент заявляемой бумаги. Все новые ценные бумаги сначала поступают в РТС-2, которая предназначена для торговли среднеликвидными и низколиквидными ценными бумагами. Если среднесуточный оборот по какой-либо ценной бумаге достигает 100 тыс. долл., то такая акция переводится в РТС-1.</w:t>
      </w:r>
    </w:p>
    <w:p w:rsidR="002F5615" w:rsidRDefault="002F5615" w:rsidP="002F5615">
      <w:pPr>
        <w:spacing w:before="120"/>
        <w:ind w:firstLine="567"/>
        <w:jc w:val="both"/>
        <w:rPr>
          <w:sz w:val="24"/>
          <w:szCs w:val="24"/>
        </w:rPr>
      </w:pPr>
      <w:r w:rsidRPr="004A06AF">
        <w:rPr>
          <w:sz w:val="24"/>
          <w:szCs w:val="24"/>
        </w:rPr>
        <w:t>Торговля ценными бумагами в РТС осуществляется на основе котировок — предложений на покупку или продажу. Котировки содержат наименование эмитента, цену за одну акцию, количество акций, валюту расчета, число дней, необходимых для перерегистрации права собственности на предложенную бумагу, и иные сведения, установленные Торговым комитетом РТС. Котировки в течение всей сессии являются твердыми, т.е. сопряжены с обязательствами объявивших их участников заключить сделки в порядке и на условиях, указанных в заявках. Котировки могут быть двусторонними или односторонними. Двусторонняя котировка означает, что объявляется отдельно цена покупки и цена продажи ценных бумаг. Односторонняя котировка предполагает покупку или продажу бумаги по единой цене.</w:t>
      </w:r>
    </w:p>
    <w:p w:rsidR="002F5615" w:rsidRDefault="002F5615" w:rsidP="002F5615">
      <w:pPr>
        <w:spacing w:before="120"/>
        <w:ind w:firstLine="567"/>
        <w:jc w:val="both"/>
        <w:rPr>
          <w:sz w:val="24"/>
          <w:szCs w:val="24"/>
        </w:rPr>
      </w:pPr>
      <w:r w:rsidRPr="004A06AF">
        <w:rPr>
          <w:sz w:val="24"/>
          <w:szCs w:val="24"/>
        </w:rPr>
        <w:t>В настоящее время в РТС происходят серьезные изменения, одним из которых является запуск Системы анонимной торговли (СиАТ), но она пока не пользуется большой популярностью. Среди причин можно выделить общее состояние фондового рынка России после кризиса осени 1998 г., выразившегося в снижении его активности. Сегодня к СиАТ подключено лишь около 20 компаний и сделки совершаются в этой системе довольно редко.</w:t>
      </w:r>
    </w:p>
    <w:p w:rsidR="002F5615" w:rsidRDefault="002F5615" w:rsidP="002F5615">
      <w:pPr>
        <w:spacing w:before="120"/>
        <w:ind w:firstLine="567"/>
        <w:jc w:val="both"/>
        <w:rPr>
          <w:sz w:val="24"/>
          <w:szCs w:val="24"/>
        </w:rPr>
      </w:pPr>
      <w:r w:rsidRPr="004A06AF">
        <w:rPr>
          <w:sz w:val="24"/>
          <w:szCs w:val="24"/>
        </w:rPr>
        <w:t>В настоящее время в системе РТС участвуют в торговле достаточно большие пакеты ценных бумаг. Сейчас стоимость стандартного лота составляет примерно 30—50 тыс. долл. Предполагалось, что в СиАТ будут торговаться еще более крупные лоты, минимальный размер которых будет 500 тыс. долл., но теперешнее состояния рынка заставило снизить планку до 150 тыс. долл.</w:t>
      </w:r>
    </w:p>
    <w:p w:rsidR="002F5615" w:rsidRDefault="002F5615" w:rsidP="002F5615">
      <w:pPr>
        <w:spacing w:before="120"/>
        <w:ind w:firstLine="567"/>
        <w:jc w:val="both"/>
        <w:rPr>
          <w:sz w:val="24"/>
          <w:szCs w:val="24"/>
        </w:rPr>
      </w:pPr>
      <w:r w:rsidRPr="004A06AF">
        <w:rPr>
          <w:sz w:val="24"/>
          <w:szCs w:val="24"/>
        </w:rPr>
        <w:t>СиАТ — это торговая система, где каждый участник сам контролирует рынки совершения сделок с другими ее участниками, выставляя лимиты. Лимиты выставляются не по каждой бумаге, а на суммарный объем торговли за день. Существует лимит на покупку и лимит на продажу. Фиксация сделок проводится в электронном виде, без каких-либо переговоров. Информация о партнерах становится известной только после того, как фиксируется сделка и заканчивается торговый день.</w:t>
      </w:r>
    </w:p>
    <w:p w:rsidR="002F5615" w:rsidRDefault="002F5615" w:rsidP="002F5615">
      <w:pPr>
        <w:spacing w:before="120"/>
        <w:ind w:firstLine="567"/>
        <w:jc w:val="both"/>
        <w:rPr>
          <w:sz w:val="24"/>
          <w:szCs w:val="24"/>
        </w:rPr>
      </w:pPr>
      <w:r w:rsidRPr="004A06AF">
        <w:rPr>
          <w:sz w:val="24"/>
          <w:szCs w:val="24"/>
        </w:rPr>
        <w:t>Важной проблемой является риск при торговле в обычной РТС и в системе анонимной торговли. И в РТС, и в СиАТ риск контрагента контролируется, но разными способами. В основной системе РТС риск контролируется тем, что можно непосредственно наблюдать контрагента и решать, стоит иметь с ним дело или нет. А в системе анонимной торговли нужно просто назвать цифру — лимит на каждого из участников анонимных торгов по покупке или продаже ценных бумаг. Лимиты фиксируются с утра и менять их в течение торговой сессии нельзя, что позволяет сделать вывод о том, что эта система менее рисковая (риск фиксирован на день), но зато менее гибкая, не предназначенная для оперативной работы на рынке.</w:t>
      </w:r>
    </w:p>
    <w:p w:rsidR="002F5615" w:rsidRDefault="002F5615" w:rsidP="002F5615">
      <w:pPr>
        <w:spacing w:before="120"/>
        <w:ind w:firstLine="567"/>
        <w:jc w:val="both"/>
        <w:rPr>
          <w:sz w:val="24"/>
          <w:szCs w:val="24"/>
        </w:rPr>
      </w:pPr>
      <w:r w:rsidRPr="004A06AF">
        <w:rPr>
          <w:sz w:val="24"/>
          <w:szCs w:val="24"/>
        </w:rPr>
        <w:t>Следующее изменение, происходящее сейчас в РТС, связано с тем, что все расчеты по обороту участников РТС переводятся в Депозиторно-клиринговую компанию (ДКК).</w:t>
      </w:r>
    </w:p>
    <w:p w:rsidR="002F5615" w:rsidRDefault="002F5615" w:rsidP="002F5615">
      <w:pPr>
        <w:spacing w:before="120"/>
        <w:ind w:firstLine="567"/>
        <w:jc w:val="both"/>
        <w:rPr>
          <w:sz w:val="24"/>
          <w:szCs w:val="24"/>
        </w:rPr>
      </w:pPr>
      <w:r w:rsidRPr="004A06AF">
        <w:rPr>
          <w:sz w:val="24"/>
          <w:szCs w:val="24"/>
        </w:rPr>
        <w:t>ДКК была выбрана РТС как расчетный депозитарий по сделкам, так как существует правило: участники рынка РТС должны рассчитываться по сделкам в одном месте. Расчеты по осуществленным сделкам состоят из двух основных частей: покупатель ценных бумаг должен внести деньги, а продавец — передать ценные бумаги в том или ином виде. Эти операции осуществляются в единственном месте — в центре поставки платежей. Три указанных фактора, составляющие систему расчетов (внесение денег, предоставление ценных бумаг и место расчета), могут как совпадать друг с другом, так и нет. Местом расчетов выбирается ДКК, потому что она обладает большим авторитетом и опытом проведения расчетных операций на фондовом рынке. Кроме того, функционирование ДКК не подпадает ни под какие нормативные акты о запрещении совмещения деятельности. ДКК имеет большой опыт работы с участниками внебиржевого рынка ценных бумаг, в частности с реестродержателями и трансфер-агентами. Брокеры — члены РТС хорошо знакомы с деятельностью ДКК по услугам перерегистрации акций в отдельных реестрах. Таким образом, сотрудничество с ДКК ддя РТС — это упрощение порядка расчета по бумагам, их стандартизация.</w:t>
      </w:r>
    </w:p>
    <w:p w:rsidR="002F5615" w:rsidRDefault="002F5615" w:rsidP="002F5615">
      <w:pPr>
        <w:spacing w:before="120"/>
        <w:ind w:firstLine="567"/>
        <w:jc w:val="both"/>
        <w:rPr>
          <w:sz w:val="24"/>
          <w:szCs w:val="24"/>
        </w:rPr>
      </w:pPr>
      <w:r w:rsidRPr="004A06AF">
        <w:rPr>
          <w:sz w:val="24"/>
          <w:szCs w:val="24"/>
        </w:rPr>
        <w:t>Важными направлениями эмиссионной деятельности Правительства России на внешнем рынке является выпуск еврооблигаций и обмен ГКО на эти финансовые инструменты. В октябре 1996 г. Правительство России разместило свои первые в постсоветский период еврооблигации, открыв дорогу на мировой рынок субъектам Федерации и корпоративным эмитентам.</w:t>
      </w:r>
    </w:p>
    <w:p w:rsidR="002F5615" w:rsidRDefault="002F5615" w:rsidP="002F5615">
      <w:pPr>
        <w:spacing w:before="120"/>
        <w:ind w:firstLine="567"/>
        <w:jc w:val="both"/>
        <w:rPr>
          <w:sz w:val="24"/>
          <w:szCs w:val="24"/>
        </w:rPr>
      </w:pPr>
      <w:r w:rsidRPr="004A06AF">
        <w:rPr>
          <w:sz w:val="24"/>
          <w:szCs w:val="24"/>
        </w:rPr>
        <w:t>Помимо этого произведен обмен ГКО на еврооблигации в сумме 6,4 млрд долл. США. Это позволило реструктурировать бюджетную задолженность в пользу ценных бумаг с более длительным сроком погашения и меньшими процентными выплатами по сравнению с ГКО. Заинтересованность зарубежных инвесторов в таких займах объясняется тем, что процентные ставки по аналогичным займам западных эмитентов примерно в 1,5 раза ниже. Так, облигации Российской Федерации, размещенные на мировом финансовом рынке в 1996—1997 гг., были выпущены с купоном от 9 до 10% годовых.</w:t>
      </w:r>
    </w:p>
    <w:p w:rsidR="002F5615" w:rsidRDefault="002F5615" w:rsidP="002F5615">
      <w:pPr>
        <w:spacing w:before="120"/>
        <w:ind w:firstLine="567"/>
        <w:jc w:val="both"/>
        <w:rPr>
          <w:sz w:val="24"/>
          <w:szCs w:val="24"/>
        </w:rPr>
      </w:pPr>
      <w:r w:rsidRPr="004A06AF">
        <w:rPr>
          <w:sz w:val="24"/>
          <w:szCs w:val="24"/>
        </w:rPr>
        <w:t>В роли эмитентов еврооблигаций с 1997 г. стали выступать также российские субъекты Федерации: Москва, Санкт-Петербург, Нижегородская область. Также в 1997 г. осуществили еврозаймы наиболее крупные российские коммерческие банки. По данным на конец 1997 г., еврооблигации выпустили Альфа-банк (175 млн. долл. США), банк «Российский кредит» (200 млн. долл. США), СБС-Агро (250 млн. долл. США), ОНЭКСИМбанк (250 млн. долл. США) и др.</w:t>
      </w:r>
    </w:p>
    <w:p w:rsidR="002F5615" w:rsidRDefault="002F5615" w:rsidP="002F5615">
      <w:pPr>
        <w:spacing w:before="120"/>
        <w:ind w:firstLine="567"/>
        <w:jc w:val="both"/>
        <w:rPr>
          <w:sz w:val="24"/>
          <w:szCs w:val="24"/>
        </w:rPr>
      </w:pPr>
      <w:r w:rsidRPr="004A06AF">
        <w:rPr>
          <w:sz w:val="24"/>
          <w:szCs w:val="24"/>
        </w:rPr>
        <w:t>Среди промышленных предприятий еврооблигации были выпущены АО «Татнефть», «МОСЭНЕРГО», «Сибнефть», НК «ЛУКойл». Средний объем займа составил около 200 млн. долл. США, большая часть облигаций была выпущена на срок 3—5 лет.</w:t>
      </w:r>
    </w:p>
    <w:p w:rsidR="002F5615" w:rsidRPr="004A06AF" w:rsidRDefault="002F5615" w:rsidP="002F5615">
      <w:pPr>
        <w:spacing w:before="120"/>
        <w:ind w:firstLine="567"/>
        <w:jc w:val="both"/>
        <w:rPr>
          <w:sz w:val="24"/>
          <w:szCs w:val="24"/>
        </w:rPr>
      </w:pPr>
      <w:r w:rsidRPr="004A06AF">
        <w:rPr>
          <w:sz w:val="24"/>
          <w:szCs w:val="24"/>
        </w:rPr>
        <w:t>Выход на мировой рынок связан с немалыми трудностями для российских эмитентов, но осуществляется по следующим причинам:</w:t>
      </w:r>
    </w:p>
    <w:p w:rsidR="002F5615" w:rsidRPr="004A06AF" w:rsidRDefault="002F5615" w:rsidP="002F5615">
      <w:pPr>
        <w:spacing w:before="120"/>
        <w:ind w:firstLine="567"/>
        <w:jc w:val="both"/>
        <w:rPr>
          <w:sz w:val="24"/>
          <w:szCs w:val="24"/>
        </w:rPr>
      </w:pPr>
      <w:r w:rsidRPr="004A06AF">
        <w:rPr>
          <w:sz w:val="24"/>
          <w:szCs w:val="24"/>
        </w:rPr>
        <w:t>зарубежный фондовый рынок позволяет эмитентам привлечь гораздо больше средств, чем российский. Лишь в странах ЕС ежедневные сделки с еврооблигациями составляют сотни миллиардов долларов, средний объем займа одного эмитента колеблется от 100 до 300 млн долл. США;</w:t>
      </w:r>
    </w:p>
    <w:p w:rsidR="002F5615" w:rsidRDefault="002F5615" w:rsidP="002F5615">
      <w:pPr>
        <w:spacing w:before="120"/>
        <w:ind w:firstLine="567"/>
        <w:jc w:val="both"/>
        <w:rPr>
          <w:sz w:val="24"/>
          <w:szCs w:val="24"/>
        </w:rPr>
      </w:pPr>
      <w:r w:rsidRPr="004A06AF">
        <w:rPr>
          <w:sz w:val="24"/>
          <w:szCs w:val="24"/>
        </w:rPr>
        <w:t>рынок еврооблигаций позволяет осуществлять заимствования на длительный срок (минимальный срок займа — три года). Процент по еврозаймам значительно ниже ставки рефинансирования в РФ.</w:t>
      </w:r>
    </w:p>
    <w:p w:rsidR="002F5615" w:rsidRPr="004A06AF" w:rsidRDefault="002F5615" w:rsidP="002F5615">
      <w:pPr>
        <w:spacing w:before="120"/>
        <w:ind w:firstLine="567"/>
        <w:jc w:val="both"/>
        <w:rPr>
          <w:sz w:val="24"/>
          <w:szCs w:val="24"/>
        </w:rPr>
      </w:pPr>
      <w:r w:rsidRPr="004A06AF">
        <w:rPr>
          <w:sz w:val="24"/>
          <w:szCs w:val="24"/>
        </w:rPr>
        <w:t>Издержки эмитента по размещению еврооблигаций включают:</w:t>
      </w:r>
    </w:p>
    <w:p w:rsidR="002F5615" w:rsidRPr="004A06AF" w:rsidRDefault="002F5615" w:rsidP="002F5615">
      <w:pPr>
        <w:spacing w:before="120"/>
        <w:ind w:firstLine="567"/>
        <w:jc w:val="both"/>
        <w:rPr>
          <w:sz w:val="24"/>
          <w:szCs w:val="24"/>
        </w:rPr>
      </w:pPr>
      <w:r w:rsidRPr="004A06AF">
        <w:rPr>
          <w:sz w:val="24"/>
          <w:szCs w:val="24"/>
        </w:rPr>
        <w:t>расходы на аудит по международным стандартам;</w:t>
      </w:r>
    </w:p>
    <w:p w:rsidR="002F5615" w:rsidRPr="004A06AF" w:rsidRDefault="002F5615" w:rsidP="002F5615">
      <w:pPr>
        <w:spacing w:before="120"/>
        <w:ind w:firstLine="567"/>
        <w:jc w:val="both"/>
        <w:rPr>
          <w:sz w:val="24"/>
          <w:szCs w:val="24"/>
        </w:rPr>
      </w:pPr>
      <w:r w:rsidRPr="004A06AF">
        <w:rPr>
          <w:sz w:val="24"/>
          <w:szCs w:val="24"/>
        </w:rPr>
        <w:t>привлечение юридической компании-консультанта с мировым именем;</w:t>
      </w:r>
    </w:p>
    <w:p w:rsidR="002F5615" w:rsidRPr="004A06AF" w:rsidRDefault="002F5615" w:rsidP="002F5615">
      <w:pPr>
        <w:spacing w:before="120"/>
        <w:ind w:firstLine="567"/>
        <w:jc w:val="both"/>
        <w:rPr>
          <w:sz w:val="24"/>
          <w:szCs w:val="24"/>
        </w:rPr>
      </w:pPr>
      <w:r w:rsidRPr="004A06AF">
        <w:rPr>
          <w:sz w:val="24"/>
          <w:szCs w:val="24"/>
        </w:rPr>
        <w:t>привлечение инвестиционного банка, который будет организовывать размещение облигаций;</w:t>
      </w:r>
    </w:p>
    <w:p w:rsidR="002F5615" w:rsidRDefault="002F5615" w:rsidP="002F5615">
      <w:pPr>
        <w:spacing w:before="120"/>
        <w:ind w:firstLine="567"/>
        <w:jc w:val="both"/>
        <w:rPr>
          <w:sz w:val="24"/>
          <w:szCs w:val="24"/>
        </w:rPr>
      </w:pPr>
      <w:r w:rsidRPr="004A06AF">
        <w:rPr>
          <w:sz w:val="24"/>
          <w:szCs w:val="24"/>
        </w:rPr>
        <w:t>получение кредитного рейтинга путем обращения в одно из крупнейших рейтинговых агентств и др.</w:t>
      </w:r>
    </w:p>
    <w:p w:rsidR="002F5615" w:rsidRDefault="002F5615" w:rsidP="002F5615">
      <w:pPr>
        <w:spacing w:before="120"/>
        <w:ind w:firstLine="567"/>
        <w:jc w:val="both"/>
        <w:rPr>
          <w:sz w:val="24"/>
          <w:szCs w:val="24"/>
        </w:rPr>
      </w:pPr>
      <w:r w:rsidRPr="004A06AF">
        <w:rPr>
          <w:sz w:val="24"/>
          <w:szCs w:val="24"/>
        </w:rPr>
        <w:t>До кризиса августа 1998 г. российские облигации, как государственные, так и корпоративные, имели рейтинг ВВ (по оценке агентства «Standart &amp; Poors») — умеренно рискованные. После известных потрясений они стали входить в группу В (опасные для инвестирования).</w:t>
      </w:r>
    </w:p>
    <w:p w:rsidR="002F5615" w:rsidRDefault="002F5615" w:rsidP="002F5615">
      <w:pPr>
        <w:spacing w:before="120"/>
        <w:ind w:firstLine="567"/>
        <w:jc w:val="both"/>
        <w:rPr>
          <w:sz w:val="24"/>
          <w:szCs w:val="24"/>
        </w:rPr>
      </w:pPr>
      <w:r w:rsidRPr="004A06AF">
        <w:rPr>
          <w:sz w:val="24"/>
          <w:szCs w:val="24"/>
        </w:rPr>
        <w:t>В феврале 1999 г. это же агентство присвоило российским банкам Альфа-банк, СБС-Агро, ОНЭКСИМбанк и «Российский кредит» рейтинг SD (выборочный дефолт, после того как ОНЭКСИМбанк отказался выплатить 12,4 млн долл. США по полугодовому купону в размере 9,875% годовых).</w:t>
      </w:r>
    </w:p>
    <w:p w:rsidR="002F5615" w:rsidRDefault="002F5615" w:rsidP="002F5615">
      <w:pPr>
        <w:spacing w:before="120"/>
        <w:ind w:firstLine="567"/>
        <w:jc w:val="both"/>
        <w:rPr>
          <w:sz w:val="24"/>
          <w:szCs w:val="24"/>
        </w:rPr>
      </w:pPr>
      <w:r w:rsidRPr="004A06AF">
        <w:rPr>
          <w:sz w:val="24"/>
          <w:szCs w:val="24"/>
        </w:rPr>
        <w:t>Это существенно изменило планы отечественных предприятий по эмиссии еврооблигаций. Среди региональных эмитентов отказались от второго выпуска еврооблигаций Москва, Татарстан, Красноярский край; из корпоративных эмитентов — РАО «Ростелеком», Промстройбанк Санкт- Петербурга и др.</w:t>
      </w:r>
    </w:p>
    <w:p w:rsidR="002F5615" w:rsidRPr="004A06AF" w:rsidRDefault="002F5615" w:rsidP="002F5615">
      <w:pPr>
        <w:spacing w:before="120"/>
        <w:jc w:val="center"/>
        <w:rPr>
          <w:b/>
          <w:bCs/>
          <w:sz w:val="28"/>
          <w:szCs w:val="28"/>
        </w:rPr>
      </w:pPr>
      <w:r w:rsidRPr="004A06AF">
        <w:rPr>
          <w:b/>
          <w:bCs/>
          <w:sz w:val="28"/>
          <w:szCs w:val="28"/>
        </w:rPr>
        <w:t>Заключение</w:t>
      </w:r>
    </w:p>
    <w:p w:rsidR="002F5615" w:rsidRDefault="002F5615" w:rsidP="002F5615">
      <w:pPr>
        <w:spacing w:before="120"/>
        <w:ind w:firstLine="567"/>
        <w:jc w:val="both"/>
        <w:rPr>
          <w:sz w:val="24"/>
          <w:szCs w:val="24"/>
        </w:rPr>
      </w:pPr>
      <w:r w:rsidRPr="004A06AF">
        <w:rPr>
          <w:sz w:val="24"/>
          <w:szCs w:val="24"/>
        </w:rPr>
        <w:t>Подводя итоги можно сделать ряд выводов.</w:t>
      </w:r>
    </w:p>
    <w:p w:rsidR="002F5615" w:rsidRDefault="002F5615" w:rsidP="002F5615">
      <w:pPr>
        <w:spacing w:before="120"/>
        <w:ind w:firstLine="567"/>
        <w:jc w:val="both"/>
        <w:rPr>
          <w:sz w:val="24"/>
          <w:szCs w:val="24"/>
        </w:rPr>
      </w:pPr>
      <w:r w:rsidRPr="004A06AF">
        <w:rPr>
          <w:sz w:val="24"/>
          <w:szCs w:val="24"/>
        </w:rPr>
        <w:t>Рынок ценных бумаг обеспечивает механизм, с помощью которого в экономику привлекаются инвестиции. Он связывает тех, кто привлекает инвестиции, выпуская ценные бумаги (эмитентов), тех, кто желает вложить свои средства в финансирование инвестиционных проектов (инвесторов, владельцев) и тех, кто осуществляет деятельность на рынке (профессиональных участников).</w:t>
      </w:r>
    </w:p>
    <w:p w:rsidR="002F5615" w:rsidRDefault="002F5615" w:rsidP="002F5615">
      <w:pPr>
        <w:spacing w:before="120"/>
        <w:ind w:firstLine="567"/>
        <w:jc w:val="both"/>
        <w:rPr>
          <w:sz w:val="24"/>
          <w:szCs w:val="24"/>
        </w:rPr>
      </w:pPr>
      <w:r w:rsidRPr="004A06AF">
        <w:rPr>
          <w:sz w:val="24"/>
          <w:szCs w:val="24"/>
        </w:rPr>
        <w:t>Существует два основных рынка ценных бумаг: первичный (размещение ценных бумаг — непосредственная их продажа сразу после эмиссии) и вторичный рынок, на котором обращаются ранее выпущенные бумаги. Вторичный рынок представлен биржевым, внебиржевым рынками, которые в настоящее время дополняются различными системами электронных торгов. Все названные рынки в определенной степени противостоят друг другу, но в то же время взаимно дополняют друг друга.</w:t>
      </w:r>
    </w:p>
    <w:p w:rsidR="002F5615" w:rsidRDefault="002F5615" w:rsidP="002F5615">
      <w:pPr>
        <w:spacing w:before="120"/>
        <w:ind w:firstLine="567"/>
        <w:jc w:val="both"/>
        <w:rPr>
          <w:sz w:val="24"/>
          <w:szCs w:val="24"/>
        </w:rPr>
      </w:pPr>
      <w:r w:rsidRPr="004A06AF">
        <w:rPr>
          <w:sz w:val="24"/>
          <w:szCs w:val="24"/>
        </w:rPr>
        <w:t>Государственное регулирование рынка ценных бумаг осуществляется в целью регистрации участников рынка, обеспечения гласности и поддержание правопорядка в отрасли. В России государственное регулирование рынка ценных бумаг осуществляется в соответствии с Федеральным законом «О рынке ценных бумаг» от 22апреля 1996г.</w:t>
      </w:r>
    </w:p>
    <w:p w:rsidR="002F5615" w:rsidRDefault="002F5615" w:rsidP="002F5615">
      <w:pPr>
        <w:spacing w:before="120"/>
        <w:ind w:firstLine="567"/>
        <w:jc w:val="both"/>
        <w:rPr>
          <w:sz w:val="24"/>
          <w:szCs w:val="24"/>
        </w:rPr>
      </w:pPr>
      <w:r w:rsidRPr="004A06AF">
        <w:rPr>
          <w:sz w:val="24"/>
          <w:szCs w:val="24"/>
        </w:rPr>
        <w:t xml:space="preserve">Наиболее распространенным видом государственных ценных бумаг являются государственные облигации. Государственная облигация — ценная бумага, удостоверяющая факт временной передачи денежных средств владельцем облигации эмитенту (государству, государственному учреждению). Владелец облигации имеет право на получение установленных процентов в течение определенного срока и возврат первоначальной суммы в конце этого срока. </w:t>
      </w:r>
    </w:p>
    <w:p w:rsidR="002F5615" w:rsidRDefault="002F5615" w:rsidP="002F5615">
      <w:pPr>
        <w:spacing w:before="120"/>
        <w:ind w:firstLine="567"/>
        <w:jc w:val="both"/>
        <w:rPr>
          <w:sz w:val="24"/>
          <w:szCs w:val="24"/>
        </w:rPr>
      </w:pPr>
      <w:r w:rsidRPr="004A06AF">
        <w:rPr>
          <w:sz w:val="24"/>
          <w:szCs w:val="24"/>
        </w:rPr>
        <w:t>В России государственные ценные бумаги можно подразделить на федеральные (выпускаемые Правительством РФ), субфедеральные (выпускаемые правительствами субъектов Федерации) и муниципальные (выпускаемые местными органами власти).</w:t>
      </w:r>
    </w:p>
    <w:p w:rsidR="002F5615" w:rsidRDefault="002F5615" w:rsidP="002F5615">
      <w:pPr>
        <w:spacing w:before="120"/>
        <w:ind w:firstLine="567"/>
        <w:jc w:val="both"/>
        <w:rPr>
          <w:sz w:val="24"/>
          <w:szCs w:val="24"/>
        </w:rPr>
      </w:pPr>
      <w:r w:rsidRPr="004A06AF">
        <w:rPr>
          <w:sz w:val="24"/>
          <w:szCs w:val="24"/>
        </w:rPr>
        <w:t>За время существования российского рынка на нем обращались следующие виды государственных федеральных ценных бумаг: государственные краткосрочные бескупонные облигации (ГКО); облигации федерального займа с переменным купонным доходом (ОФЗ-ПК); облигации государственного сберегательного займа Российской Федерации (ОГСЗ); облигации внутреннего государственного валютного займа (ОВВЗ) и др.</w:t>
      </w:r>
    </w:p>
    <w:p w:rsidR="002F5615" w:rsidRDefault="002F5615" w:rsidP="002F5615">
      <w:pPr>
        <w:spacing w:before="120"/>
        <w:ind w:firstLine="567"/>
        <w:jc w:val="both"/>
        <w:rPr>
          <w:sz w:val="24"/>
          <w:szCs w:val="24"/>
        </w:rPr>
      </w:pPr>
      <w:r w:rsidRPr="004A06AF">
        <w:rPr>
          <w:sz w:val="24"/>
          <w:szCs w:val="24"/>
        </w:rPr>
        <w:t>Особенностью нынешнего этапа в развитии фондового рынка является отсутствие большого набора инструментов государственного регулирования вследствие недостаточного по времени развития данного сегмента экономики. Это проявляется и в том, что основной упор в развитии рынка ценных бумаг делается на максимальное саморегулирование со стороны профессиональных участников рынка. Хотя следует признать, что фондовый рынок немыслим без должного государственного регулирования.</w:t>
      </w:r>
    </w:p>
    <w:p w:rsidR="002F5615" w:rsidRDefault="002F5615" w:rsidP="002F5615">
      <w:pPr>
        <w:spacing w:before="120"/>
        <w:ind w:firstLine="567"/>
        <w:jc w:val="both"/>
        <w:rPr>
          <w:sz w:val="24"/>
          <w:szCs w:val="24"/>
        </w:rPr>
      </w:pPr>
      <w:r w:rsidRPr="004A06AF">
        <w:rPr>
          <w:sz w:val="24"/>
          <w:szCs w:val="24"/>
        </w:rPr>
        <w:t>В настоящее время в России существует определенное количество законодательных актов, которые регулируют фондовый рынок, но их явно недостаточно. Такая ситуация во многом генерируется динамичным развитием данного рынка и отставанием от него законодательной деятельности. Наряду с этим можно отметить такой негативный момент, как недостаточная правовая защищенность граждан при совершении ими различных операций на рынке ценных бумаг. Это особенно актуально в связи с тем, что население обладает значительными ресурсами, необходимыми для эффективного осуществления инвестиционных процессов в реальной экономике России.</w:t>
      </w:r>
    </w:p>
    <w:p w:rsidR="002F5615" w:rsidRPr="004A06AF" w:rsidRDefault="002F5615" w:rsidP="002F5615">
      <w:pPr>
        <w:spacing w:before="120"/>
        <w:jc w:val="center"/>
        <w:rPr>
          <w:b/>
          <w:bCs/>
          <w:sz w:val="28"/>
          <w:szCs w:val="28"/>
        </w:rPr>
      </w:pPr>
      <w:r w:rsidRPr="004A06AF">
        <w:rPr>
          <w:b/>
          <w:bCs/>
          <w:sz w:val="28"/>
          <w:szCs w:val="28"/>
        </w:rPr>
        <w:t>Список литературы</w:t>
      </w:r>
    </w:p>
    <w:p w:rsidR="002F5615" w:rsidRPr="004A06AF" w:rsidRDefault="002F5615" w:rsidP="002F5615">
      <w:pPr>
        <w:spacing w:before="120"/>
        <w:ind w:firstLine="567"/>
        <w:jc w:val="both"/>
        <w:rPr>
          <w:sz w:val="24"/>
          <w:szCs w:val="24"/>
        </w:rPr>
      </w:pPr>
      <w:r w:rsidRPr="004A06AF">
        <w:rPr>
          <w:sz w:val="24"/>
          <w:szCs w:val="24"/>
        </w:rPr>
        <w:t xml:space="preserve">Глушаков А. Л., Горбатова Л. В. Российский рынок ценных бумаг. Ч. 1. Квалификационный минимум: Вопросы и задачи с ответами и решениями. - М.: АО Школа инвестора, 1993. </w:t>
      </w:r>
    </w:p>
    <w:p w:rsidR="002F5615" w:rsidRPr="004A06AF" w:rsidRDefault="002F5615" w:rsidP="002F5615">
      <w:pPr>
        <w:spacing w:before="120"/>
        <w:ind w:firstLine="567"/>
        <w:jc w:val="both"/>
        <w:rPr>
          <w:sz w:val="24"/>
          <w:szCs w:val="24"/>
        </w:rPr>
      </w:pPr>
      <w:r w:rsidRPr="004A06AF">
        <w:rPr>
          <w:sz w:val="24"/>
          <w:szCs w:val="24"/>
        </w:rPr>
        <w:t xml:space="preserve">Зубкова А. А. Рынок ценных бумаг: Учебно-методическое пособие. – Омск: ОмИПКРО, 1998. </w:t>
      </w:r>
    </w:p>
    <w:p w:rsidR="002F5615" w:rsidRPr="004A06AF" w:rsidRDefault="002F5615" w:rsidP="002F5615">
      <w:pPr>
        <w:spacing w:before="120"/>
        <w:ind w:firstLine="567"/>
        <w:jc w:val="both"/>
        <w:rPr>
          <w:sz w:val="24"/>
          <w:szCs w:val="24"/>
        </w:rPr>
      </w:pPr>
      <w:r w:rsidRPr="004A06AF">
        <w:rPr>
          <w:sz w:val="24"/>
          <w:szCs w:val="24"/>
        </w:rPr>
        <w:t xml:space="preserve">Килячков А. А., Чалдаева Л. А. Практикум по российскому рынку ценных бумаг. - М: Изд-во «БЕК», 1997. </w:t>
      </w:r>
    </w:p>
    <w:p w:rsidR="002F5615" w:rsidRPr="004A06AF" w:rsidRDefault="002F5615" w:rsidP="002F5615">
      <w:pPr>
        <w:spacing w:before="120"/>
        <w:ind w:firstLine="567"/>
        <w:jc w:val="both"/>
        <w:rPr>
          <w:sz w:val="24"/>
          <w:szCs w:val="24"/>
        </w:rPr>
      </w:pPr>
      <w:r w:rsidRPr="004A06AF">
        <w:rPr>
          <w:sz w:val="24"/>
          <w:szCs w:val="24"/>
        </w:rPr>
        <w:t xml:space="preserve">Рачек В. А., Казагун Н. У. Рынок ценных бумаг: Учебное пособие. – Омск: Институт сервиса, 1998. </w:t>
      </w:r>
    </w:p>
    <w:p w:rsidR="002F5615" w:rsidRPr="004A06AF" w:rsidRDefault="002F5615" w:rsidP="002F5615">
      <w:pPr>
        <w:spacing w:before="120"/>
        <w:ind w:firstLine="567"/>
        <w:jc w:val="both"/>
        <w:rPr>
          <w:sz w:val="24"/>
          <w:szCs w:val="24"/>
        </w:rPr>
      </w:pPr>
      <w:r w:rsidRPr="004A06AF">
        <w:rPr>
          <w:sz w:val="24"/>
          <w:szCs w:val="24"/>
        </w:rPr>
        <w:t xml:space="preserve">Рынок ценных бумаг. Шаг России в информационное общество / Под ред. проф. Н. Т. Клещева — М: Экономика, 1997. </w:t>
      </w:r>
    </w:p>
    <w:p w:rsidR="002F5615" w:rsidRPr="004A06AF" w:rsidRDefault="002F5615" w:rsidP="002F5615">
      <w:pPr>
        <w:spacing w:before="120"/>
        <w:ind w:firstLine="567"/>
        <w:jc w:val="both"/>
        <w:rPr>
          <w:sz w:val="24"/>
          <w:szCs w:val="24"/>
        </w:rPr>
      </w:pPr>
      <w:r w:rsidRPr="004A06AF">
        <w:rPr>
          <w:sz w:val="24"/>
          <w:szCs w:val="24"/>
        </w:rPr>
        <w:t xml:space="preserve">Семенкова Е. В. Операции с ценными бумагами: российская практика: Учебник. - М.: ИНФРА-М, 1997. </w:t>
      </w:r>
    </w:p>
    <w:p w:rsidR="002F5615" w:rsidRDefault="002F5615" w:rsidP="002F5615">
      <w:pPr>
        <w:spacing w:before="120"/>
        <w:ind w:firstLine="567"/>
        <w:jc w:val="both"/>
        <w:rPr>
          <w:sz w:val="24"/>
          <w:szCs w:val="24"/>
        </w:rPr>
      </w:pPr>
      <w:r w:rsidRPr="004A06AF">
        <w:rPr>
          <w:sz w:val="24"/>
          <w:szCs w:val="24"/>
        </w:rPr>
        <w:t>Фельдман А. А. Государственные ценные бумаги. - М.: ИНФРА-М, 1994.</w:t>
      </w:r>
    </w:p>
    <w:p w:rsidR="00E12572" w:rsidRDefault="00E12572">
      <w:bookmarkStart w:id="0" w:name="_GoBack"/>
      <w:bookmarkEnd w:id="0"/>
    </w:p>
    <w:sectPr w:rsidR="00E12572" w:rsidSect="0031418A">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Verdana">
    <w:panose1 w:val="020B0604030504040204"/>
    <w:charset w:val="CC"/>
    <w:family w:val="swiss"/>
    <w:pitch w:val="variable"/>
    <w:sig w:usb0="A10006FF" w:usb1="4000205B" w:usb2="00000010"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rawingGridHorizontalSpacing w:val="187"/>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F5615"/>
    <w:rsid w:val="000E305E"/>
    <w:rsid w:val="002F5615"/>
    <w:rsid w:val="0031418A"/>
    <w:rsid w:val="004A06AF"/>
    <w:rsid w:val="004F2E0D"/>
    <w:rsid w:val="005A2562"/>
    <w:rsid w:val="00E1257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596586B3-3EF1-49EA-A261-9BA7F7E65C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F5615"/>
    <w:pPr>
      <w:overflowPunct w:val="0"/>
      <w:autoSpaceDE w:val="0"/>
      <w:autoSpaceDN w:val="0"/>
      <w:adjustRightInd w:val="0"/>
      <w:spacing w:after="0" w:line="240" w:lineRule="auto"/>
      <w:textAlignment w:val="baseline"/>
    </w:pPr>
    <w:rPr>
      <w:sz w:val="20"/>
      <w:szCs w:val="20"/>
    </w:rPr>
  </w:style>
  <w:style w:type="paragraph" w:styleId="1">
    <w:name w:val="heading 1"/>
    <w:basedOn w:val="a"/>
    <w:link w:val="10"/>
    <w:uiPriority w:val="99"/>
    <w:qFormat/>
    <w:rsid w:val="002F5615"/>
    <w:pPr>
      <w:overflowPunct/>
      <w:autoSpaceDE/>
      <w:autoSpaceDN/>
      <w:adjustRightInd/>
      <w:spacing w:before="100" w:beforeAutospacing="1" w:after="100" w:afterAutospacing="1"/>
      <w:jc w:val="center"/>
      <w:textAlignment w:val="auto"/>
      <w:outlineLvl w:val="0"/>
    </w:pPr>
    <w:rPr>
      <w:rFonts w:ascii="Arial" w:hAnsi="Arial" w:cs="Arial"/>
      <w:b/>
      <w:bCs/>
      <w:color w:val="4580A0"/>
      <w:kern w:val="36"/>
      <w:sz w:val="36"/>
      <w:szCs w:val="36"/>
    </w:rPr>
  </w:style>
  <w:style w:type="paragraph" w:styleId="2">
    <w:name w:val="heading 2"/>
    <w:basedOn w:val="a"/>
    <w:link w:val="20"/>
    <w:uiPriority w:val="99"/>
    <w:qFormat/>
    <w:rsid w:val="002F5615"/>
    <w:pPr>
      <w:overflowPunct/>
      <w:autoSpaceDE/>
      <w:autoSpaceDN/>
      <w:adjustRightInd/>
      <w:spacing w:before="100" w:beforeAutospacing="1" w:after="100" w:afterAutospacing="1"/>
      <w:textAlignment w:val="auto"/>
      <w:outlineLvl w:val="1"/>
    </w:pPr>
    <w:rPr>
      <w:rFonts w:ascii="Verdana" w:hAnsi="Verdana" w:cs="Verdana"/>
      <w:smallCaps/>
      <w:color w:val="4580A0"/>
      <w:sz w:val="36"/>
      <w:szCs w:val="36"/>
    </w:rPr>
  </w:style>
  <w:style w:type="paragraph" w:styleId="3">
    <w:name w:val="heading 3"/>
    <w:basedOn w:val="a"/>
    <w:next w:val="a"/>
    <w:link w:val="30"/>
    <w:uiPriority w:val="99"/>
    <w:qFormat/>
    <w:rsid w:val="002F5615"/>
    <w:pPr>
      <w:keepNext/>
      <w:spacing w:before="240" w:after="60"/>
      <w:outlineLvl w:val="2"/>
    </w:pPr>
    <w:rPr>
      <w:rFonts w:ascii="Arial" w:hAnsi="Arial" w:cs="Arial"/>
      <w:b/>
      <w:bCs/>
      <w:sz w:val="26"/>
      <w:szCs w:val="26"/>
    </w:rPr>
  </w:style>
  <w:style w:type="paragraph" w:styleId="4">
    <w:name w:val="heading 4"/>
    <w:basedOn w:val="a"/>
    <w:next w:val="a"/>
    <w:link w:val="40"/>
    <w:uiPriority w:val="99"/>
    <w:qFormat/>
    <w:rsid w:val="002F5615"/>
    <w:pPr>
      <w:keepNext/>
      <w:spacing w:before="240" w:after="60"/>
      <w:outlineLvl w:val="3"/>
    </w:pPr>
    <w:rPr>
      <w:b/>
      <w:bCs/>
      <w:sz w:val="28"/>
      <w:szCs w:val="28"/>
    </w:rPr>
  </w:style>
  <w:style w:type="paragraph" w:styleId="5">
    <w:name w:val="heading 5"/>
    <w:basedOn w:val="a"/>
    <w:link w:val="50"/>
    <w:uiPriority w:val="99"/>
    <w:qFormat/>
    <w:rsid w:val="002F5615"/>
    <w:pPr>
      <w:overflowPunct/>
      <w:autoSpaceDE/>
      <w:autoSpaceDN/>
      <w:adjustRightInd/>
      <w:spacing w:before="100" w:beforeAutospacing="1" w:after="100" w:afterAutospacing="1"/>
      <w:jc w:val="right"/>
      <w:textAlignment w:val="auto"/>
      <w:outlineLvl w:val="4"/>
    </w:pPr>
    <w:rPr>
      <w:rFonts w:ascii="Tahoma" w:hAnsi="Tahoma" w:cs="Tahoma"/>
      <w:b/>
      <w:bCs/>
    </w:rPr>
  </w:style>
  <w:style w:type="paragraph" w:styleId="6">
    <w:name w:val="heading 6"/>
    <w:basedOn w:val="a"/>
    <w:link w:val="60"/>
    <w:uiPriority w:val="99"/>
    <w:qFormat/>
    <w:rsid w:val="002F5615"/>
    <w:pPr>
      <w:overflowPunct/>
      <w:autoSpaceDE/>
      <w:autoSpaceDN/>
      <w:adjustRightInd/>
      <w:spacing w:before="100" w:beforeAutospacing="1" w:after="100" w:afterAutospacing="1"/>
      <w:jc w:val="right"/>
      <w:textAlignment w:val="auto"/>
      <w:outlineLvl w:val="5"/>
    </w:pPr>
    <w:rPr>
      <w:rFonts w:ascii="Tahoma" w:hAnsi="Tahoma" w:cs="Tahom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Pr>
      <w:rFonts w:asciiTheme="majorHAnsi" w:eastAsiaTheme="majorEastAsia" w:hAnsiTheme="majorHAnsi" w:cstheme="majorBidi"/>
      <w:b/>
      <w:bCs/>
      <w:kern w:val="32"/>
      <w:sz w:val="32"/>
      <w:szCs w:val="32"/>
    </w:rPr>
  </w:style>
  <w:style w:type="character" w:customStyle="1" w:styleId="20">
    <w:name w:val="Заголовок 2 Знак"/>
    <w:basedOn w:val="a0"/>
    <w:link w:val="2"/>
    <w:uiPriority w:val="9"/>
    <w:semiHidden/>
    <w:rPr>
      <w:rFonts w:asciiTheme="majorHAnsi" w:eastAsiaTheme="majorEastAsia" w:hAnsiTheme="majorHAnsi" w:cstheme="majorBidi"/>
      <w:b/>
      <w:bCs/>
      <w:i/>
      <w:iCs/>
      <w:sz w:val="28"/>
      <w:szCs w:val="28"/>
    </w:rPr>
  </w:style>
  <w:style w:type="character" w:customStyle="1" w:styleId="30">
    <w:name w:val="Заголовок 3 Знак"/>
    <w:basedOn w:val="a0"/>
    <w:link w:val="3"/>
    <w:uiPriority w:val="9"/>
    <w:semiHidden/>
    <w:rPr>
      <w:rFonts w:asciiTheme="majorHAnsi" w:eastAsiaTheme="majorEastAsia" w:hAnsiTheme="majorHAnsi" w:cstheme="majorBidi"/>
      <w:b/>
      <w:bCs/>
      <w:sz w:val="26"/>
      <w:szCs w:val="26"/>
    </w:rPr>
  </w:style>
  <w:style w:type="character" w:customStyle="1" w:styleId="40">
    <w:name w:val="Заголовок 4 Знак"/>
    <w:basedOn w:val="a0"/>
    <w:link w:val="4"/>
    <w:uiPriority w:val="9"/>
    <w:semiHidden/>
    <w:rPr>
      <w:rFonts w:asciiTheme="minorHAnsi" w:eastAsiaTheme="minorEastAsia" w:hAnsiTheme="minorHAnsi" w:cstheme="minorBidi"/>
      <w:b/>
      <w:bCs/>
      <w:sz w:val="28"/>
      <w:szCs w:val="28"/>
    </w:rPr>
  </w:style>
  <w:style w:type="character" w:customStyle="1" w:styleId="50">
    <w:name w:val="Заголовок 5 Знак"/>
    <w:basedOn w:val="a0"/>
    <w:link w:val="5"/>
    <w:uiPriority w:val="9"/>
    <w:semiHidden/>
    <w:rPr>
      <w:rFonts w:asciiTheme="minorHAnsi" w:eastAsiaTheme="minorEastAsia" w:hAnsiTheme="minorHAnsi" w:cstheme="minorBidi"/>
      <w:b/>
      <w:bCs/>
      <w:i/>
      <w:iCs/>
      <w:sz w:val="26"/>
      <w:szCs w:val="26"/>
    </w:rPr>
  </w:style>
  <w:style w:type="character" w:customStyle="1" w:styleId="60">
    <w:name w:val="Заголовок 6 Знак"/>
    <w:basedOn w:val="a0"/>
    <w:link w:val="6"/>
    <w:uiPriority w:val="9"/>
    <w:semiHidden/>
    <w:rPr>
      <w:rFonts w:asciiTheme="minorHAnsi" w:eastAsiaTheme="minorEastAsia" w:hAnsiTheme="minorHAnsi" w:cstheme="minorBidi"/>
      <w:b/>
      <w:bCs/>
    </w:rPr>
  </w:style>
  <w:style w:type="character" w:styleId="a3">
    <w:name w:val="Hyperlink"/>
    <w:basedOn w:val="a0"/>
    <w:uiPriority w:val="99"/>
    <w:rsid w:val="002F5615"/>
    <w:rPr>
      <w:color w:val="0000FF"/>
      <w:u w:val="single"/>
    </w:rPr>
  </w:style>
  <w:style w:type="paragraph" w:styleId="a4">
    <w:name w:val="header"/>
    <w:basedOn w:val="a"/>
    <w:link w:val="a5"/>
    <w:uiPriority w:val="99"/>
    <w:rsid w:val="002F5615"/>
    <w:pPr>
      <w:tabs>
        <w:tab w:val="center" w:pos="4677"/>
        <w:tab w:val="right" w:pos="9355"/>
      </w:tabs>
    </w:pPr>
  </w:style>
  <w:style w:type="character" w:customStyle="1" w:styleId="a5">
    <w:name w:val="Верхний колонтитул Знак"/>
    <w:basedOn w:val="a0"/>
    <w:link w:val="a4"/>
    <w:uiPriority w:val="99"/>
    <w:semiHidden/>
    <w:rPr>
      <w:sz w:val="20"/>
      <w:szCs w:val="20"/>
    </w:rPr>
  </w:style>
  <w:style w:type="paragraph" w:styleId="a6">
    <w:name w:val="footer"/>
    <w:basedOn w:val="a"/>
    <w:link w:val="a7"/>
    <w:uiPriority w:val="99"/>
    <w:rsid w:val="002F5615"/>
    <w:pPr>
      <w:tabs>
        <w:tab w:val="center" w:pos="4677"/>
        <w:tab w:val="right" w:pos="9355"/>
      </w:tabs>
    </w:pPr>
  </w:style>
  <w:style w:type="character" w:customStyle="1" w:styleId="a7">
    <w:name w:val="Нижний колонтитул Знак"/>
    <w:basedOn w:val="a0"/>
    <w:link w:val="a6"/>
    <w:uiPriority w:val="99"/>
    <w:semiHidden/>
    <w:rPr>
      <w:sz w:val="20"/>
      <w:szCs w:val="20"/>
    </w:rPr>
  </w:style>
  <w:style w:type="character" w:styleId="a8">
    <w:name w:val="page number"/>
    <w:basedOn w:val="a0"/>
    <w:uiPriority w:val="99"/>
    <w:rsid w:val="002F5615"/>
  </w:style>
  <w:style w:type="paragraph" w:styleId="HTML">
    <w:name w:val="HTML Preformatted"/>
    <w:basedOn w:val="a"/>
    <w:link w:val="HTML0"/>
    <w:uiPriority w:val="99"/>
    <w:rsid w:val="002F56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autoSpaceDE/>
      <w:autoSpaceDN/>
      <w:adjustRightInd/>
      <w:textAlignment w:val="auto"/>
    </w:pPr>
    <w:rPr>
      <w:rFonts w:ascii="Courier New" w:hAnsi="Courier New" w:cs="Courier New"/>
    </w:rPr>
  </w:style>
  <w:style w:type="character" w:customStyle="1" w:styleId="HTML0">
    <w:name w:val="Стандартный HTML Знак"/>
    <w:basedOn w:val="a0"/>
    <w:link w:val="HTML"/>
    <w:uiPriority w:val="99"/>
    <w:semiHidden/>
    <w:rPr>
      <w:rFonts w:ascii="Courier New" w:hAnsi="Courier New" w:cs="Courier New"/>
      <w:sz w:val="20"/>
      <w:szCs w:val="20"/>
    </w:rPr>
  </w:style>
  <w:style w:type="paragraph" w:styleId="a9">
    <w:name w:val="Normal (Web)"/>
    <w:basedOn w:val="a"/>
    <w:uiPriority w:val="99"/>
    <w:rsid w:val="002F5615"/>
    <w:pPr>
      <w:overflowPunct/>
      <w:autoSpaceDE/>
      <w:autoSpaceDN/>
      <w:adjustRightInd/>
      <w:spacing w:before="100" w:beforeAutospacing="1" w:after="100" w:afterAutospacing="1"/>
      <w:jc w:val="both"/>
      <w:textAlignment w:val="auto"/>
    </w:pPr>
    <w:rPr>
      <w:rFonts w:ascii="Verdana" w:hAnsi="Verdana" w:cs="Verdana"/>
    </w:rPr>
  </w:style>
  <w:style w:type="character" w:customStyle="1" w:styleId="comment">
    <w:name w:val="comment"/>
    <w:basedOn w:val="a0"/>
    <w:uiPriority w:val="99"/>
    <w:rsid w:val="002F5615"/>
    <w:rPr>
      <w:color w:val="auto"/>
    </w:rPr>
  </w:style>
  <w:style w:type="character" w:customStyle="1" w:styleId="keyword">
    <w:name w:val="keyword"/>
    <w:basedOn w:val="a0"/>
    <w:uiPriority w:val="99"/>
    <w:rsid w:val="002F5615"/>
    <w:rPr>
      <w:color w:val="0000FF"/>
    </w:rPr>
  </w:style>
  <w:style w:type="character" w:customStyle="1" w:styleId="title3">
    <w:name w:val="title3"/>
    <w:basedOn w:val="a0"/>
    <w:uiPriority w:val="99"/>
    <w:rsid w:val="002F5615"/>
    <w:rPr>
      <w:rFonts w:ascii="Tahoma" w:hAnsi="Tahoma" w:cs="Tahoma"/>
      <w:color w:val="3570A0"/>
    </w:rPr>
  </w:style>
  <w:style w:type="character" w:customStyle="1" w:styleId="value3">
    <w:name w:val="value3"/>
    <w:basedOn w:val="a0"/>
    <w:uiPriority w:val="99"/>
    <w:rsid w:val="002F5615"/>
    <w:rPr>
      <w:rFonts w:ascii="Verdana" w:hAnsi="Verdana" w:cs="Verdana"/>
      <w:i/>
      <w:iCs/>
    </w:rPr>
  </w:style>
  <w:style w:type="character" w:customStyle="1" w:styleId="title4">
    <w:name w:val="title4"/>
    <w:basedOn w:val="a0"/>
    <w:uiPriority w:val="99"/>
    <w:rsid w:val="002F5615"/>
    <w:rPr>
      <w:rFonts w:ascii="Tahoma" w:hAnsi="Tahoma" w:cs="Tahoma"/>
      <w:color w:val="3570A0"/>
    </w:rPr>
  </w:style>
  <w:style w:type="character" w:customStyle="1" w:styleId="value4">
    <w:name w:val="value4"/>
    <w:basedOn w:val="a0"/>
    <w:uiPriority w:val="99"/>
    <w:rsid w:val="002F5615"/>
    <w:rPr>
      <w:rFonts w:ascii="Arial" w:hAnsi="Arial" w:cs="Arial"/>
      <w:i/>
      <w:iCs/>
    </w:rPr>
  </w:style>
  <w:style w:type="character" w:customStyle="1" w:styleId="string">
    <w:name w:val="string"/>
    <w:basedOn w:val="a0"/>
    <w:uiPriority w:val="99"/>
    <w:rsid w:val="002F5615"/>
    <w:rPr>
      <w:color w:val="auto"/>
    </w:rPr>
  </w:style>
  <w:style w:type="character" w:styleId="aa">
    <w:name w:val="FollowedHyperlink"/>
    <w:basedOn w:val="a0"/>
    <w:uiPriority w:val="99"/>
    <w:rsid w:val="002F5615"/>
    <w:rPr>
      <w:rFonts w:ascii="Tahoma" w:hAnsi="Tahoma" w:cs="Tahoma"/>
      <w:color w:val="auto"/>
      <w:u w:val="none"/>
      <w:effect w:val="none"/>
    </w:rPr>
  </w:style>
  <w:style w:type="character" w:styleId="HTML1">
    <w:name w:val="HTML Code"/>
    <w:basedOn w:val="a0"/>
    <w:uiPriority w:val="99"/>
    <w:rsid w:val="002F5615"/>
    <w:rPr>
      <w:rFonts w:ascii="Courier New" w:eastAsia="Times New Roman" w:hAnsi="Courier New" w:cs="Courier New"/>
      <w:sz w:val="20"/>
      <w:szCs w:val="20"/>
    </w:rPr>
  </w:style>
  <w:style w:type="paragraph" w:customStyle="1" w:styleId="code">
    <w:name w:val="code"/>
    <w:basedOn w:val="a"/>
    <w:uiPriority w:val="99"/>
    <w:rsid w:val="002F5615"/>
    <w:pPr>
      <w:shd w:val="clear" w:color="auto" w:fill="F4F4F4"/>
      <w:overflowPunct/>
      <w:autoSpaceDE/>
      <w:autoSpaceDN/>
      <w:adjustRightInd/>
      <w:spacing w:before="100" w:beforeAutospacing="1" w:after="100" w:afterAutospacing="1"/>
      <w:jc w:val="both"/>
      <w:textAlignment w:val="auto"/>
    </w:pPr>
    <w:rPr>
      <w:rFonts w:ascii="Verdana" w:hAnsi="Verdana" w:cs="Verdana"/>
    </w:rPr>
  </w:style>
  <w:style w:type="paragraph" w:customStyle="1" w:styleId="warning">
    <w:name w:val="warning"/>
    <w:basedOn w:val="a"/>
    <w:uiPriority w:val="99"/>
    <w:rsid w:val="002F5615"/>
    <w:pPr>
      <w:shd w:val="clear" w:color="auto" w:fill="FFE4E4"/>
      <w:overflowPunct/>
      <w:autoSpaceDE/>
      <w:autoSpaceDN/>
      <w:adjustRightInd/>
      <w:spacing w:before="100" w:beforeAutospacing="1" w:after="100" w:afterAutospacing="1"/>
      <w:jc w:val="both"/>
      <w:textAlignment w:val="auto"/>
    </w:pPr>
    <w:rPr>
      <w:rFonts w:ascii="Verdana" w:hAnsi="Verdana" w:cs="Verdana"/>
      <w:color w:val="FF5555"/>
    </w:rPr>
  </w:style>
  <w:style w:type="paragraph" w:customStyle="1" w:styleId="note">
    <w:name w:val="note"/>
    <w:basedOn w:val="a"/>
    <w:uiPriority w:val="99"/>
    <w:rsid w:val="002F5615"/>
    <w:pPr>
      <w:shd w:val="clear" w:color="auto" w:fill="F5F9FF"/>
      <w:overflowPunct/>
      <w:autoSpaceDE/>
      <w:autoSpaceDN/>
      <w:adjustRightInd/>
      <w:spacing w:before="100" w:beforeAutospacing="1" w:after="100" w:afterAutospacing="1"/>
      <w:jc w:val="both"/>
      <w:textAlignment w:val="auto"/>
    </w:pPr>
    <w:rPr>
      <w:rFonts w:ascii="Verdana" w:hAnsi="Verdana" w:cs="Verdana"/>
      <w:color w:val="506580"/>
    </w:rPr>
  </w:style>
  <w:style w:type="paragraph" w:customStyle="1" w:styleId="tip">
    <w:name w:val="tip"/>
    <w:basedOn w:val="a"/>
    <w:uiPriority w:val="99"/>
    <w:rsid w:val="002F5615"/>
    <w:pPr>
      <w:shd w:val="clear" w:color="auto" w:fill="F5FFF5"/>
      <w:overflowPunct/>
      <w:autoSpaceDE/>
      <w:autoSpaceDN/>
      <w:adjustRightInd/>
      <w:spacing w:before="100" w:beforeAutospacing="1" w:after="100" w:afterAutospacing="1"/>
      <w:jc w:val="both"/>
      <w:textAlignment w:val="auto"/>
    </w:pPr>
    <w:rPr>
      <w:rFonts w:ascii="Verdana" w:hAnsi="Verdana" w:cs="Verdana"/>
      <w:color w:val="759545"/>
    </w:rPr>
  </w:style>
  <w:style w:type="paragraph" w:styleId="ab">
    <w:name w:val="Title"/>
    <w:basedOn w:val="a"/>
    <w:link w:val="ac"/>
    <w:uiPriority w:val="99"/>
    <w:qFormat/>
    <w:rsid w:val="002F5615"/>
    <w:pPr>
      <w:overflowPunct/>
      <w:autoSpaceDE/>
      <w:autoSpaceDN/>
      <w:adjustRightInd/>
      <w:spacing w:before="100" w:beforeAutospacing="1" w:after="100" w:afterAutospacing="1"/>
      <w:jc w:val="both"/>
      <w:textAlignment w:val="auto"/>
    </w:pPr>
    <w:rPr>
      <w:rFonts w:ascii="Tahoma" w:hAnsi="Tahoma" w:cs="Tahoma"/>
    </w:rPr>
  </w:style>
  <w:style w:type="character" w:customStyle="1" w:styleId="ac">
    <w:name w:val="Название Знак"/>
    <w:basedOn w:val="a0"/>
    <w:link w:val="ab"/>
    <w:uiPriority w:val="10"/>
    <w:rPr>
      <w:rFonts w:asciiTheme="majorHAnsi" w:eastAsiaTheme="majorEastAsia" w:hAnsiTheme="majorHAnsi" w:cstheme="majorBidi"/>
      <w:b/>
      <w:bCs/>
      <w:kern w:val="28"/>
      <w:sz w:val="32"/>
      <w:szCs w:val="32"/>
    </w:rPr>
  </w:style>
  <w:style w:type="paragraph" w:customStyle="1" w:styleId="value">
    <w:name w:val="value"/>
    <w:basedOn w:val="a"/>
    <w:uiPriority w:val="99"/>
    <w:rsid w:val="002F5615"/>
    <w:pPr>
      <w:overflowPunct/>
      <w:autoSpaceDE/>
      <w:autoSpaceDN/>
      <w:adjustRightInd/>
      <w:spacing w:before="100" w:beforeAutospacing="1" w:after="100" w:afterAutospacing="1"/>
      <w:jc w:val="both"/>
      <w:textAlignment w:val="auto"/>
    </w:pPr>
    <w:rPr>
      <w:rFonts w:ascii="Verdana" w:hAnsi="Verdana" w:cs="Verdana"/>
    </w:rPr>
  </w:style>
  <w:style w:type="character" w:customStyle="1" w:styleId="character">
    <w:name w:val="character"/>
    <w:basedOn w:val="a0"/>
    <w:uiPriority w:val="99"/>
    <w:rsid w:val="002F5615"/>
    <w:rPr>
      <w:color w:val="000000"/>
    </w:rPr>
  </w:style>
  <w:style w:type="character" w:customStyle="1" w:styleId="preprocessor">
    <w:name w:val="preprocessor"/>
    <w:basedOn w:val="a0"/>
    <w:uiPriority w:val="99"/>
    <w:rsid w:val="002F5615"/>
    <w:rPr>
      <w:color w:val="0000FF"/>
    </w:rPr>
  </w:style>
  <w:style w:type="character" w:customStyle="1" w:styleId="number">
    <w:name w:val="number"/>
    <w:basedOn w:val="a0"/>
    <w:uiPriority w:val="99"/>
    <w:rsid w:val="002F5615"/>
    <w:rPr>
      <w:color w:val="000000"/>
    </w:rPr>
  </w:style>
  <w:style w:type="character" w:customStyle="1" w:styleId="accent">
    <w:name w:val="accent"/>
    <w:basedOn w:val="a0"/>
    <w:uiPriority w:val="99"/>
    <w:rsid w:val="002F5615"/>
    <w:rPr>
      <w:color w:val="FF0000"/>
    </w:rPr>
  </w:style>
  <w:style w:type="paragraph" w:styleId="ad">
    <w:name w:val="Subtitle"/>
    <w:basedOn w:val="a"/>
    <w:next w:val="a"/>
    <w:link w:val="ae"/>
    <w:uiPriority w:val="11"/>
    <w:qFormat/>
    <w:pPr>
      <w:spacing w:after="60"/>
      <w:jc w:val="center"/>
      <w:outlineLvl w:val="1"/>
    </w:pPr>
    <w:rPr>
      <w:rFonts w:asciiTheme="majorHAnsi" w:eastAsiaTheme="majorEastAsia" w:hAnsiTheme="majorHAnsi" w:cstheme="majorBidi"/>
      <w:sz w:val="24"/>
      <w:szCs w:val="24"/>
    </w:rPr>
  </w:style>
  <w:style w:type="character" w:customStyle="1" w:styleId="ae">
    <w:name w:val="Подзаголовок Знак"/>
    <w:basedOn w:val="a0"/>
    <w:link w:val="ad"/>
    <w:uiPriority w:val="11"/>
    <w:rPr>
      <w:rFonts w:asciiTheme="majorHAnsi" w:eastAsiaTheme="majorEastAsia" w:hAnsiTheme="majorHAnsi" w:cstheme="majorBidi"/>
      <w:sz w:val="24"/>
      <w:szCs w:val="24"/>
    </w:rPr>
  </w:style>
  <w:style w:type="character" w:customStyle="1" w:styleId="subtitle1">
    <w:name w:val="subtitle1"/>
    <w:basedOn w:val="a0"/>
    <w:uiPriority w:val="99"/>
    <w:rsid w:val="002F5615"/>
    <w:rPr>
      <w:rFonts w:ascii="Verdana" w:hAnsi="Verdana" w:cs="Verdana"/>
      <w:sz w:val="24"/>
      <w:szCs w:val="24"/>
    </w:rPr>
  </w:style>
  <w:style w:type="paragraph" w:customStyle="1" w:styleId="title1">
    <w:name w:val="title1"/>
    <w:basedOn w:val="a"/>
    <w:uiPriority w:val="99"/>
    <w:rsid w:val="002F5615"/>
    <w:pPr>
      <w:overflowPunct/>
      <w:autoSpaceDE/>
      <w:autoSpaceDN/>
      <w:adjustRightInd/>
      <w:spacing w:before="100" w:beforeAutospacing="1" w:after="100" w:afterAutospacing="1"/>
      <w:jc w:val="both"/>
      <w:textAlignment w:val="auto"/>
    </w:pPr>
    <w:rPr>
      <w:rFonts w:ascii="Tahoma" w:hAnsi="Tahoma" w:cs="Tahoma"/>
      <w:color w:val="3570A0"/>
    </w:rPr>
  </w:style>
  <w:style w:type="paragraph" w:customStyle="1" w:styleId="value1">
    <w:name w:val="value1"/>
    <w:basedOn w:val="a"/>
    <w:uiPriority w:val="99"/>
    <w:rsid w:val="002F5615"/>
    <w:pPr>
      <w:overflowPunct/>
      <w:autoSpaceDE/>
      <w:autoSpaceDN/>
      <w:adjustRightInd/>
      <w:spacing w:before="100" w:beforeAutospacing="1" w:after="100" w:afterAutospacing="1"/>
      <w:jc w:val="both"/>
      <w:textAlignment w:val="auto"/>
    </w:pPr>
    <w:rPr>
      <w:rFonts w:ascii="Verdana" w:hAnsi="Verdana" w:cs="Verdana"/>
      <w:i/>
      <w:iCs/>
    </w:rPr>
  </w:style>
  <w:style w:type="paragraph" w:customStyle="1" w:styleId="title2">
    <w:name w:val="title2"/>
    <w:basedOn w:val="a"/>
    <w:uiPriority w:val="99"/>
    <w:rsid w:val="002F5615"/>
    <w:pPr>
      <w:overflowPunct/>
      <w:autoSpaceDE/>
      <w:autoSpaceDN/>
      <w:adjustRightInd/>
      <w:spacing w:before="100" w:beforeAutospacing="1" w:after="100" w:afterAutospacing="1"/>
      <w:jc w:val="both"/>
      <w:textAlignment w:val="auto"/>
    </w:pPr>
    <w:rPr>
      <w:rFonts w:ascii="Tahoma" w:hAnsi="Tahoma" w:cs="Tahoma"/>
      <w:color w:val="3570A0"/>
    </w:rPr>
  </w:style>
  <w:style w:type="paragraph" w:customStyle="1" w:styleId="value2">
    <w:name w:val="value2"/>
    <w:basedOn w:val="a"/>
    <w:uiPriority w:val="99"/>
    <w:rsid w:val="002F5615"/>
    <w:pPr>
      <w:overflowPunct/>
      <w:autoSpaceDE/>
      <w:autoSpaceDN/>
      <w:adjustRightInd/>
      <w:spacing w:before="100" w:beforeAutospacing="1" w:after="100" w:afterAutospacing="1"/>
      <w:jc w:val="both"/>
      <w:textAlignment w:val="auto"/>
    </w:pPr>
    <w:rPr>
      <w:rFonts w:ascii="Arial" w:hAnsi="Arial" w:cs="Arial"/>
      <w:i/>
      <w:iCs/>
    </w:rPr>
  </w:style>
  <w:style w:type="paragraph" w:customStyle="1" w:styleId="code1">
    <w:name w:val="code1"/>
    <w:basedOn w:val="a"/>
    <w:uiPriority w:val="99"/>
    <w:rsid w:val="002F5615"/>
    <w:pPr>
      <w:shd w:val="clear" w:color="auto" w:fill="FFE4E4"/>
      <w:overflowPunct/>
      <w:autoSpaceDE/>
      <w:autoSpaceDN/>
      <w:adjustRightInd/>
      <w:spacing w:before="100" w:beforeAutospacing="1" w:after="100" w:afterAutospacing="1"/>
      <w:jc w:val="both"/>
      <w:textAlignment w:val="auto"/>
    </w:pPr>
    <w:rPr>
      <w:rFonts w:ascii="Verdana" w:hAnsi="Verdana" w:cs="Verdana"/>
    </w:rPr>
  </w:style>
  <w:style w:type="paragraph" w:customStyle="1" w:styleId="code2">
    <w:name w:val="code2"/>
    <w:basedOn w:val="a"/>
    <w:uiPriority w:val="99"/>
    <w:rsid w:val="002F5615"/>
    <w:pPr>
      <w:shd w:val="clear" w:color="auto" w:fill="F5F9FF"/>
      <w:overflowPunct/>
      <w:autoSpaceDE/>
      <w:autoSpaceDN/>
      <w:adjustRightInd/>
      <w:spacing w:before="100" w:beforeAutospacing="1" w:after="100" w:afterAutospacing="1"/>
      <w:jc w:val="both"/>
      <w:textAlignment w:val="auto"/>
    </w:pPr>
    <w:rPr>
      <w:rFonts w:ascii="Verdana" w:hAnsi="Verdana" w:cs="Verdana"/>
    </w:rPr>
  </w:style>
  <w:style w:type="paragraph" w:customStyle="1" w:styleId="code3">
    <w:name w:val="code3"/>
    <w:basedOn w:val="a"/>
    <w:uiPriority w:val="99"/>
    <w:rsid w:val="002F5615"/>
    <w:pPr>
      <w:shd w:val="clear" w:color="auto" w:fill="F5FFF5"/>
      <w:overflowPunct/>
      <w:autoSpaceDE/>
      <w:autoSpaceDN/>
      <w:adjustRightInd/>
      <w:spacing w:before="100" w:beforeAutospacing="1" w:after="100" w:afterAutospacing="1"/>
      <w:jc w:val="both"/>
      <w:textAlignment w:val="auto"/>
    </w:pPr>
    <w:rPr>
      <w:rFonts w:ascii="Verdana" w:hAnsi="Verdana" w:cs="Verdana"/>
    </w:rPr>
  </w:style>
  <w:style w:type="character" w:styleId="af">
    <w:name w:val="Emphasis"/>
    <w:basedOn w:val="a0"/>
    <w:uiPriority w:val="99"/>
    <w:qFormat/>
    <w:rsid w:val="002F5615"/>
    <w:rPr>
      <w:i/>
      <w:iCs/>
    </w:rPr>
  </w:style>
  <w:style w:type="paragraph" w:customStyle="1" w:styleId="abb">
    <w:name w:val="abb"/>
    <w:basedOn w:val="a"/>
    <w:uiPriority w:val="99"/>
    <w:rsid w:val="002F5615"/>
    <w:pPr>
      <w:overflowPunct/>
      <w:autoSpaceDE/>
      <w:autoSpaceDN/>
      <w:adjustRightInd/>
      <w:spacing w:before="100" w:beforeAutospacing="1" w:after="100" w:afterAutospacing="1"/>
      <w:textAlignment w:val="auto"/>
    </w:pPr>
    <w:rPr>
      <w:b/>
      <w:bCs/>
      <w:color w:val="000000"/>
      <w:sz w:val="24"/>
      <w:szCs w:val="24"/>
    </w:rPr>
  </w:style>
  <w:style w:type="table" w:styleId="af0">
    <w:name w:val="Table Grid"/>
    <w:basedOn w:val="a1"/>
    <w:uiPriority w:val="99"/>
    <w:rsid w:val="002F5615"/>
    <w:pPr>
      <w:overflowPunct w:val="0"/>
      <w:autoSpaceDE w:val="0"/>
      <w:autoSpaceDN w:val="0"/>
      <w:adjustRightInd w:val="0"/>
      <w:spacing w:after="0" w:line="240" w:lineRule="auto"/>
      <w:textAlignment w:val="baseline"/>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7805</Words>
  <Characters>44489</Characters>
  <Application>Microsoft Office Word</Application>
  <DocSecurity>0</DocSecurity>
  <Lines>370</Lines>
  <Paragraphs>104</Paragraphs>
  <ScaleCrop>false</ScaleCrop>
  <Company>Home</Company>
  <LinksUpToDate>false</LinksUpToDate>
  <CharactersWithSpaces>52190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Рынок ценных бумаг в России, его особенности</dc:title>
  <dc:subject/>
  <dc:creator>Alena</dc:creator>
  <cp:keywords/>
  <dc:description/>
  <cp:lastModifiedBy>admin</cp:lastModifiedBy>
  <cp:revision>2</cp:revision>
  <dcterms:created xsi:type="dcterms:W3CDTF">2014-02-18T00:04:00Z</dcterms:created>
  <dcterms:modified xsi:type="dcterms:W3CDTF">2014-02-18T00:04:00Z</dcterms:modified>
</cp:coreProperties>
</file>