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51A" w:rsidRDefault="0098351A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75296" w:rsidRPr="00975296" w:rsidRDefault="00975296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75296">
        <w:rPr>
          <w:rFonts w:ascii="Times New Roman" w:hAnsi="Times New Roman"/>
          <w:sz w:val="28"/>
          <w:szCs w:val="28"/>
        </w:rPr>
        <w:t>Содержание.</w:t>
      </w:r>
    </w:p>
    <w:p w:rsidR="00975296" w:rsidRPr="00975296" w:rsidRDefault="00975296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r w:rsidRPr="00975296">
        <w:rPr>
          <w:rFonts w:ascii="Times New Roman" w:hAnsi="Times New Roman"/>
          <w:sz w:val="28"/>
          <w:szCs w:val="28"/>
        </w:rPr>
        <w:fldChar w:fldCharType="begin"/>
      </w:r>
      <w:r w:rsidRPr="00975296">
        <w:rPr>
          <w:rFonts w:ascii="Times New Roman" w:hAnsi="Times New Roman"/>
          <w:sz w:val="28"/>
          <w:szCs w:val="28"/>
        </w:rPr>
        <w:instrText xml:space="preserve"> TOC \o "1-3" \h \z \u </w:instrText>
      </w:r>
      <w:r w:rsidRPr="00975296">
        <w:rPr>
          <w:rFonts w:ascii="Times New Roman" w:hAnsi="Times New Roman"/>
          <w:sz w:val="28"/>
          <w:szCs w:val="28"/>
        </w:rPr>
        <w:fldChar w:fldCharType="separate"/>
      </w:r>
      <w:hyperlink w:anchor="_Toc289849472" w:history="1">
        <w:r w:rsidRPr="00975296">
          <w:rPr>
            <w:rStyle w:val="a9"/>
            <w:rFonts w:ascii="Times New Roman" w:hAnsi="Times New Roman"/>
            <w:noProof/>
            <w:sz w:val="28"/>
            <w:szCs w:val="28"/>
          </w:rPr>
          <w:t>Введение</w:t>
        </w:r>
        <w:r w:rsidRPr="00975296">
          <w:rPr>
            <w:rStyle w:val="a9"/>
            <w:rFonts w:ascii="Times New Roman" w:hAnsi="Times New Roman"/>
            <w:noProof/>
            <w:sz w:val="28"/>
            <w:szCs w:val="28"/>
            <w:lang w:val="en-US"/>
          </w:rPr>
          <w:t>.</w:t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_Toc289849472 \h </w:instrText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975296" w:rsidRPr="00975296" w:rsidRDefault="00BE6C58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hyperlink w:anchor="_Toc289849473" w:history="1">
        <w:r w:rsidR="00975296" w:rsidRPr="00975296">
          <w:rPr>
            <w:rStyle w:val="a9"/>
            <w:rFonts w:ascii="Times New Roman" w:hAnsi="Times New Roman"/>
            <w:noProof/>
            <w:sz w:val="28"/>
            <w:szCs w:val="28"/>
          </w:rPr>
          <w:t>1.Развитие оценочной  деятельности в России.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_Toc289849473 \h </w:instrTex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>4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975296" w:rsidRPr="00975296" w:rsidRDefault="00BE6C58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hyperlink w:anchor="_Toc289849474" w:history="1">
        <w:r w:rsidR="00975296" w:rsidRPr="00975296">
          <w:rPr>
            <w:rStyle w:val="a9"/>
            <w:rFonts w:ascii="Times New Roman" w:hAnsi="Times New Roman"/>
            <w:noProof/>
            <w:sz w:val="28"/>
            <w:szCs w:val="28"/>
          </w:rPr>
          <w:t>Литература.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_Toc289849474 \h </w:instrTex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>8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975296" w:rsidRPr="00975296" w:rsidRDefault="00BE6C58" w:rsidP="00975296">
      <w:pPr>
        <w:pStyle w:val="11"/>
        <w:tabs>
          <w:tab w:val="right" w:leader="dot" w:pos="9345"/>
        </w:tabs>
        <w:spacing w:line="360" w:lineRule="auto"/>
        <w:ind w:firstLine="709"/>
        <w:jc w:val="both"/>
        <w:rPr>
          <w:rFonts w:ascii="Times New Roman" w:hAnsi="Times New Roman"/>
          <w:noProof/>
          <w:sz w:val="28"/>
          <w:szCs w:val="28"/>
        </w:rPr>
      </w:pPr>
      <w:hyperlink w:anchor="_Toc289849475" w:history="1">
        <w:r w:rsidR="00975296" w:rsidRPr="00975296">
          <w:rPr>
            <w:rStyle w:val="a9"/>
            <w:rFonts w:ascii="Times New Roman" w:hAnsi="Times New Roman"/>
            <w:noProof/>
            <w:sz w:val="28"/>
            <w:szCs w:val="28"/>
          </w:rPr>
          <w:t>Практическое задание.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_Toc289849475 \h </w:instrTex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t>9</w:t>
        </w:r>
        <w:r w:rsidR="00975296" w:rsidRPr="00975296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975296" w:rsidRDefault="00975296" w:rsidP="00975296">
      <w:pPr>
        <w:spacing w:line="360" w:lineRule="auto"/>
        <w:ind w:firstLine="709"/>
        <w:jc w:val="both"/>
      </w:pPr>
      <w:r w:rsidRPr="00975296">
        <w:rPr>
          <w:rFonts w:ascii="Times New Roman" w:hAnsi="Times New Roman"/>
          <w:sz w:val="28"/>
          <w:szCs w:val="28"/>
        </w:rPr>
        <w:fldChar w:fldCharType="end"/>
      </w:r>
    </w:p>
    <w:p w:rsidR="00EE1D4F" w:rsidRPr="00F749C7" w:rsidRDefault="00975296" w:rsidP="00975296">
      <w:pPr>
        <w:pStyle w:val="1"/>
        <w:spacing w:line="360" w:lineRule="auto"/>
        <w:ind w:firstLine="709"/>
        <w:jc w:val="both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</w:rPr>
        <w:br w:type="page"/>
      </w:r>
      <w:bookmarkStart w:id="0" w:name="_Toc289849472"/>
      <w:r w:rsidR="00EE1D4F" w:rsidRPr="00F749C7">
        <w:rPr>
          <w:rFonts w:ascii="Times New Roman" w:hAnsi="Times New Roman"/>
          <w:b/>
        </w:rPr>
        <w:t>Введение</w:t>
      </w:r>
      <w:r w:rsidR="00F749C7">
        <w:rPr>
          <w:rFonts w:ascii="Times New Roman" w:hAnsi="Times New Roman"/>
          <w:b/>
          <w:lang w:val="en-US"/>
        </w:rPr>
        <w:t>.</w:t>
      </w:r>
      <w:bookmarkEnd w:id="0"/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Оценка как новое направление рыночной инфраструктуры возникла в связи с необходимостью разрешения имущественных споров, в которых стороны для определения объективной стоимости того или иного имущества были вынуждены прибегать к услугам независимых ценовых арбитров.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Как всегда спрос породил предложение, и вскоре оценка начала бурно развиваться в современной России уже не только как прикладная отрасль рыночной экономики, но и как научно-методическое направление прикладной экономической науки.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 xml:space="preserve">В нашей стране в течение семидесяти с лишним лет профессии оценщик не было, и быть не могло. Стоимость любого объекта собственности устанавливалась государством раз и навсегда. Но, объективно, политическая и экономическая ситуация в России, развивающийся рынок требовали правового регулирования формировавшейся оценочной деятельности. 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Однако в секторе гражданско-правовых отношений неповоротливый федеральный механизм принятия законов послужил серьезным препятствием к развитию института оценки.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Официально Министерством труда и социального обеспечения, профессия “оценщик” (эксперт по оценке) введена в конце ноября 1996 года, и потребуется еще немало времени для того, чтобы придать этому роду деятельности именно “профессиональный” характер, создать полноценный законодательный механизм работы экспертов по оценке собственности.</w:t>
      </w:r>
    </w:p>
    <w:p w:rsidR="00EE1D4F" w:rsidRPr="00F749C7" w:rsidRDefault="00EE1D4F" w:rsidP="00975296">
      <w:pPr>
        <w:pStyle w:val="1"/>
        <w:spacing w:line="360" w:lineRule="auto"/>
        <w:ind w:firstLine="709"/>
        <w:jc w:val="both"/>
        <w:rPr>
          <w:rFonts w:ascii="Times New Roman" w:hAnsi="Times New Roman"/>
          <w:b/>
        </w:rPr>
      </w:pPr>
      <w:r>
        <w:br w:type="page"/>
      </w:r>
      <w:bookmarkStart w:id="1" w:name="_Toc289849473"/>
      <w:r w:rsidR="00F749C7" w:rsidRPr="00F749C7">
        <w:rPr>
          <w:rFonts w:ascii="Times New Roman" w:hAnsi="Times New Roman"/>
          <w:b/>
        </w:rPr>
        <w:t>1.</w:t>
      </w:r>
      <w:r w:rsidRPr="00F749C7">
        <w:rPr>
          <w:rFonts w:ascii="Times New Roman" w:hAnsi="Times New Roman"/>
          <w:b/>
        </w:rPr>
        <w:t>Развитие оценочной  деятельности в России.</w:t>
      </w:r>
      <w:bookmarkEnd w:id="1"/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Оценка недвижимости, как элемент государственной экономической политики, начала формироваться в России в середине XVIII века в связи с изменением общественно-экономического строя. Прежде всего, это обуславливалось необходимостью создания фискального кадастра, то есть описания и оценки недвижимого имущества для целей налогообложения.</w:t>
      </w:r>
    </w:p>
    <w:p w:rsidR="00EE1D4F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Формирование системы оценки недвижимости для целей налогообложения происходило в России под непосредственным влиянием аналогичных работ, уже выполненных в странах Западной Европы к этому времени.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Поводом для создания систем налогообложения недвижимости в большинстве стран служила неравномерность распределения налогов при переходе от подуш</w:t>
      </w:r>
      <w:r w:rsidR="00F44F12">
        <w:rPr>
          <w:rFonts w:ascii="Times New Roman" w:hAnsi="Times New Roman"/>
          <w:sz w:val="28"/>
          <w:szCs w:val="28"/>
        </w:rPr>
        <w:t>ного налогообложения к подоходно</w:t>
      </w:r>
      <w:r w:rsidRPr="00711BD4">
        <w:rPr>
          <w:rFonts w:ascii="Times New Roman" w:hAnsi="Times New Roman"/>
          <w:sz w:val="28"/>
          <w:szCs w:val="28"/>
        </w:rPr>
        <w:t>му. Основу таких систем составляли кадастры, содержащие материалы описания и оценки недвижимого имущества.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С отменой крепостного права в 1861 году в России возникли предпосылки проведения кадастровых работ, неотъемлемой составной частью которых являлась оценка недвижимости. Изданное в 1864 году "Положение о земских учреждениях" предусматривало изменение базы налогообложения и частичный переход на налогообложение имущества граждан России. Для пополнения государственного бюджета была сохранена подушная система налогообложения, а для формирования земского бюджета предметами налогообложения становились "земли, фабрики, заводы, промышленные и торговые заведения и вообще недвижимые имущества в уездах и городах, а также свидетель</w:t>
      </w:r>
      <w:r>
        <w:rPr>
          <w:rFonts w:ascii="Times New Roman" w:hAnsi="Times New Roman"/>
          <w:sz w:val="28"/>
          <w:szCs w:val="28"/>
        </w:rPr>
        <w:t>ства на право торговли".</w:t>
      </w:r>
      <w:r w:rsidRPr="00711BD4">
        <w:rPr>
          <w:rFonts w:ascii="Times New Roman" w:hAnsi="Times New Roman"/>
          <w:sz w:val="28"/>
          <w:szCs w:val="28"/>
        </w:rPr>
        <w:t>Размер налогообложения определялся "доходностью и ценностью облагаемых имуществ". К 1888 году подушный налог был отменен окончательно.</w:t>
      </w:r>
    </w:p>
    <w:p w:rsidR="00EE1D4F" w:rsidRPr="00711BD4" w:rsidRDefault="00EE1D4F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11BD4">
        <w:rPr>
          <w:rFonts w:ascii="Times New Roman" w:hAnsi="Times New Roman"/>
          <w:sz w:val="28"/>
          <w:szCs w:val="28"/>
        </w:rPr>
        <w:t>Современные подходы к вопросам оценки, культивируемые в развитых странах рыночной экономики, практически повторяют в своей основе концептуальные положения, заложенные создателями русской оценочной статистики. К началу XX века методические разработки и организационные подходы к оценке в России, впитавшие в себя передовые идеи и опыт развитых стран того времени, позволили добиться в вопросах оценки недвижимости выдающихся результатов, зачастую не имеющих аналогов в мире. Анализ исторических фактов позволяет обоснованно сделать вывод о том, что стараниями своих выдающихся ученых Россия, с точки зрения методологии и организации оценки недвижимости, была одной из ведущих стран.</w:t>
      </w:r>
    </w:p>
    <w:p w:rsidR="007836D8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Пик </w:t>
      </w:r>
      <w:r w:rsidR="00810F4F">
        <w:rPr>
          <w:rFonts w:ascii="Times New Roman" w:hAnsi="Times New Roman"/>
          <w:sz w:val="28"/>
          <w:szCs w:val="28"/>
        </w:rPr>
        <w:t>оценочной деятельности в России пришёлся на вторую половину 90-х годов, когда подготовкой профессиональных оценщиков впервын начал заниматься Институт экономического развития Всемирного банка реконструкции и развития.</w:t>
      </w:r>
    </w:p>
    <w:p w:rsidR="00EE1D4F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7836D8">
        <w:rPr>
          <w:rFonts w:ascii="Times New Roman" w:hAnsi="Times New Roman"/>
          <w:sz w:val="28"/>
          <w:szCs w:val="28"/>
        </w:rPr>
        <w:t>Развитие оценки в Российской Федерации было бы невозможно без системы подготовки, переподготовки и повышения квалификации специалистов-оценщиков. Одним из важных событий на этапе становления оценочной деятельности в России стало проведение в 1993 году семинаров по оценочной деятельности, организованных Институтом экономического развития Всемирного Банка. Заметный импульс развитию образования в сфере оценки был дан в ходе формирования и развития лицензионных требований к деятельности оценщиков.</w:t>
      </w:r>
    </w:p>
    <w:p w:rsidR="00F44F12" w:rsidRDefault="00F44F12" w:rsidP="00D627FC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en-US"/>
        </w:rPr>
      </w:pP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 xml:space="preserve">Были созданы 58 структурных региональных единиц, которые объединяли 70 регионов России и стран ближнего зарубежья. Данной организацией была создана Академия оценки интеллектуальной собственности , которой до 2000 г. было подготовлено 15000 оценщиков. Российским обществом оценщиком, было положено начало созданию нормативной базы российской практики оценки имущества. </w:t>
      </w:r>
    </w:p>
    <w:p w:rsidR="00F44F12" w:rsidRDefault="00F44F12" w:rsidP="00D627FC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В июне 1994года на отчетно - выборной конференции РОО были приняты: Декларация РОО, Стандарты профессиональной деятельности в области недвижимого имущества, Кодекс профессиональной этики членов РОО. Следующим шагом в июне 1995 г. стала регистрация системы стандартизации в Госстандарте РФ. В этот же период совместно с Госкомимуществом РФ и Российской Гильдией риэлторов принято Положение о лицензировании риэлторской деятельности в РФ, в котором оценочная деятельность была определена в качестве самостоятельного вида деятельности и выведена из-под лицензирования риэлторской деятельности.</w:t>
      </w:r>
    </w:p>
    <w:p w:rsidR="00F44F12" w:rsidRDefault="00F44F12" w:rsidP="00D627FC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 xml:space="preserve">В 1996 году появилась новая организация - Национальная коллегия оценщиков (НКО), в которую вошли фирмы, занимающиеся оценкой. С конца 1996 года профессия оценщика в России уже имела официальный статус. Министерство труда и социального развития РФ своим постановлением от 27.11.96 г. № 11 утвердило квалификационную характеристику должности «оценщик», в которой устанавливаются должностные обязанности и перечень нормативно - правовых и методических документов и иных сведений, которые должен знать оценщик. </w:t>
      </w:r>
    </w:p>
    <w:p w:rsidR="00F44F12" w:rsidRDefault="00F44F12" w:rsidP="00D627FC">
      <w:pPr>
        <w:spacing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Основными должностными обязанностями оценщика являются установление рыночной стоимости или иной стоимости объектов гражданских прав, исследование потребностей оценки и установление деловых контактов с клиентами, составление письменного отчета об оценке, использование всех известных методов оценки, создание информационной базы, необходимой для профессиональной деятельности. Установлены и квалификационные требования по данной должности: высшее профессиональное образование, дополнительное образование и стаж работы по профилю не менее 1 года.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 xml:space="preserve"> На сегодняшний день в России деятельность оценщиков на федеральном уровне регламентируется соответствующим Федеральным законом от 29.07.98 г. № 135 - ФЗ «Об оценочной деятельности в РФ» (приложение ).</w:t>
      </w:r>
    </w:p>
    <w:p w:rsidR="007836D8" w:rsidRPr="00F44F12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6D8">
        <w:rPr>
          <w:rFonts w:ascii="Times New Roman" w:hAnsi="Times New Roman"/>
          <w:sz w:val="28"/>
          <w:szCs w:val="28"/>
        </w:rPr>
        <w:t>Развивается методологическая база оценки, учитывающая международный опыт, а также особенности развития экономики и правового регулирования в России.</w:t>
      </w:r>
    </w:p>
    <w:p w:rsidR="007836D8" w:rsidRPr="007836D8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6D8">
        <w:rPr>
          <w:rFonts w:ascii="Times New Roman" w:hAnsi="Times New Roman"/>
          <w:sz w:val="28"/>
          <w:szCs w:val="28"/>
        </w:rPr>
        <w:t xml:space="preserve">Сложился единый рынок оценочных услуг. В настоящее время в рамках единых требований на основании федеральной лицензии оценочную деятельность осуществляют более 5300 юридических лиц и индивидуальных предпринимателей. </w:t>
      </w:r>
    </w:p>
    <w:p w:rsidR="007836D8" w:rsidRPr="007836D8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6D8">
        <w:rPr>
          <w:rFonts w:ascii="Times New Roman" w:hAnsi="Times New Roman"/>
          <w:sz w:val="28"/>
          <w:szCs w:val="28"/>
        </w:rPr>
        <w:t>Сформирована система государственного регулирования оценочной деятельности, основанная на Федеральном законе “Об оценочной деятельности в Российской Фед</w:t>
      </w:r>
      <w:r w:rsidR="00D627FC">
        <w:rPr>
          <w:rFonts w:ascii="Times New Roman" w:hAnsi="Times New Roman"/>
          <w:sz w:val="28"/>
          <w:szCs w:val="28"/>
        </w:rPr>
        <w:t xml:space="preserve">ерации” и включающая контроль над </w:t>
      </w:r>
      <w:r w:rsidRPr="007836D8">
        <w:rPr>
          <w:rFonts w:ascii="Times New Roman" w:hAnsi="Times New Roman"/>
          <w:sz w:val="28"/>
          <w:szCs w:val="28"/>
        </w:rPr>
        <w:t xml:space="preserve">соблюдением оценщиками требований и условий, стандарты оценки и методические рекомендации, требования к образованию специалистов. </w:t>
      </w:r>
    </w:p>
    <w:p w:rsidR="007836D8" w:rsidRDefault="007836D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836D8">
        <w:rPr>
          <w:rFonts w:ascii="Times New Roman" w:hAnsi="Times New Roman"/>
          <w:sz w:val="28"/>
          <w:szCs w:val="28"/>
        </w:rPr>
        <w:t>Развиваются саморегулируемые организации оценщиков. Налажено их взаимодействие с Минимуществом России по всему спектру проблем развития рынка оценки.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Но можно выделить и 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 xml:space="preserve"> недостатки, присущие сегодняшней практике в области оценки имущества России: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Отсутствие методологической базы;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Несоответствие зарубежной методологии рыночным отношениям в России;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3.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Недоверие заказчиков к менеджерам - оценщикам, занимающихся на практике данной деятельностью;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Отсутствие достаточного количества высококвалифицированных экспертов - оценщиков в регионах;</w:t>
      </w:r>
    </w:p>
    <w:p w:rsidR="00D627FC" w:rsidRPr="00F42C75" w:rsidRDefault="00D627FC" w:rsidP="00D627F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5.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Недостаток практического опыта оценочных работ у фирм;</w:t>
      </w:r>
    </w:p>
    <w:p w:rsidR="00D627FC" w:rsidRPr="00F42C75" w:rsidRDefault="00D627FC" w:rsidP="00D627F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</w:t>
      </w:r>
      <w:r w:rsidRPr="00F42C75">
        <w:rPr>
          <w:rFonts w:ascii="Times New Roman" w:eastAsia="Times New Roman" w:hAnsi="Times New Roman"/>
          <w:color w:val="000000"/>
          <w:sz w:val="28"/>
          <w:szCs w:val="28"/>
        </w:rPr>
        <w:t>Отсутствие единых стандартов оценки.</w:t>
      </w:r>
    </w:p>
    <w:p w:rsidR="00D627FC" w:rsidRDefault="00D627FC" w:rsidP="00975296">
      <w:pPr>
        <w:pStyle w:val="1"/>
        <w:spacing w:line="360" w:lineRule="auto"/>
        <w:ind w:firstLine="709"/>
        <w:jc w:val="both"/>
        <w:rPr>
          <w:rFonts w:ascii="Times New Roman" w:hAnsi="Times New Roman"/>
          <w:b/>
        </w:rPr>
      </w:pPr>
      <w:bookmarkStart w:id="2" w:name="_Toc289849474"/>
      <w:r w:rsidRPr="00D627FC">
        <w:rPr>
          <w:rFonts w:ascii="Times New Roman" w:hAnsi="Times New Roman"/>
          <w:b/>
        </w:rPr>
        <w:t>Литература</w:t>
      </w:r>
      <w:r>
        <w:rPr>
          <w:rFonts w:ascii="Times New Roman" w:hAnsi="Times New Roman"/>
          <w:b/>
        </w:rPr>
        <w:t>.</w:t>
      </w:r>
      <w:bookmarkEnd w:id="2"/>
    </w:p>
    <w:p w:rsidR="00D627FC" w:rsidRDefault="00D627FC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75296">
        <w:rPr>
          <w:rFonts w:ascii="Times New Roman" w:hAnsi="Times New Roman"/>
          <w:sz w:val="28"/>
          <w:szCs w:val="28"/>
        </w:rPr>
        <w:t>1.</w:t>
      </w:r>
      <w:r w:rsidR="00CF7A68">
        <w:rPr>
          <w:rFonts w:ascii="Times New Roman" w:hAnsi="Times New Roman"/>
          <w:sz w:val="28"/>
          <w:szCs w:val="28"/>
        </w:rPr>
        <w:t>Тестина М.Ф. Экономические основы оценки недвижимости. Учебное пособие. Шахты.2005.</w:t>
      </w:r>
    </w:p>
    <w:p w:rsidR="00975296" w:rsidRDefault="00CF7A68" w:rsidP="00D627F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t>.</w:t>
      </w:r>
      <w:r w:rsidRPr="00CF7A68">
        <w:rPr>
          <w:rFonts w:ascii="Times New Roman" w:hAnsi="Times New Roman"/>
          <w:sz w:val="28"/>
          <w:szCs w:val="28"/>
        </w:rPr>
        <w:t>Федеральный закон № 135-ФЗ от 29 июля 1998 года "Об оценочной деятельности в Российской Федерации"</w:t>
      </w:r>
      <w:r>
        <w:rPr>
          <w:rFonts w:ascii="Times New Roman" w:hAnsi="Times New Roman"/>
          <w:sz w:val="28"/>
          <w:szCs w:val="28"/>
        </w:rPr>
        <w:t>.</w:t>
      </w:r>
    </w:p>
    <w:p w:rsidR="00CF7A68" w:rsidRDefault="00975296" w:rsidP="00975296">
      <w:pPr>
        <w:pStyle w:val="1"/>
        <w:spacing w:line="360" w:lineRule="auto"/>
        <w:ind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br w:type="page"/>
      </w:r>
      <w:bookmarkStart w:id="3" w:name="_Toc289849475"/>
      <w:r w:rsidRPr="00975296">
        <w:rPr>
          <w:rFonts w:ascii="Times New Roman" w:hAnsi="Times New Roman"/>
          <w:b/>
        </w:rPr>
        <w:t>Практическое задание.</w:t>
      </w:r>
      <w:bookmarkEnd w:id="3"/>
    </w:p>
    <w:p w:rsidR="00975296" w:rsidRPr="00121211" w:rsidRDefault="00975296" w:rsidP="00121211">
      <w:pPr>
        <w:pStyle w:val="aa"/>
        <w:spacing w:after="0" w:line="360" w:lineRule="auto"/>
        <w:ind w:left="0" w:firstLine="709"/>
        <w:rPr>
          <w:sz w:val="28"/>
          <w:szCs w:val="28"/>
        </w:rPr>
      </w:pPr>
      <w:r w:rsidRPr="00121211">
        <w:rPr>
          <w:sz w:val="28"/>
          <w:szCs w:val="28"/>
        </w:rPr>
        <w:t>Практическая ситуация № 8</w:t>
      </w:r>
    </w:p>
    <w:p w:rsidR="00975296" w:rsidRPr="00121211" w:rsidRDefault="00975296" w:rsidP="00121211">
      <w:pPr>
        <w:pStyle w:val="aa"/>
        <w:spacing w:after="0" w:line="360" w:lineRule="auto"/>
        <w:ind w:left="0" w:firstLine="709"/>
        <w:rPr>
          <w:sz w:val="28"/>
          <w:szCs w:val="28"/>
        </w:rPr>
      </w:pPr>
      <w:r w:rsidRPr="00121211">
        <w:rPr>
          <w:sz w:val="28"/>
          <w:szCs w:val="28"/>
        </w:rPr>
        <w:t>Определите восстановительную стоимость объекта недвижимости, если стоимость строительно-монтажных работ в ценах 1991 года составила 153 тыс. р., а поправочные коэффициенты: плановых накоплений – 1,08 накладных расходов – 1,18, непредвиденных расходов – 1,015, на времен</w:t>
      </w:r>
      <w:r w:rsidRPr="00121211">
        <w:rPr>
          <w:spacing w:val="-2"/>
          <w:sz w:val="28"/>
          <w:szCs w:val="28"/>
        </w:rPr>
        <w:t>ные здания и сооружения – 1,01, зимних удорожаний – 1,66, прочих работ</w:t>
      </w:r>
      <w:r w:rsidRPr="00121211">
        <w:rPr>
          <w:sz w:val="28"/>
          <w:szCs w:val="28"/>
        </w:rPr>
        <w:t xml:space="preserve"> – 1,008. Индекс перевода на дату оценки 40,094.</w:t>
      </w:r>
    </w:p>
    <w:p w:rsidR="00975296" w:rsidRPr="00975296" w:rsidRDefault="00975296" w:rsidP="00975296">
      <w:pPr>
        <w:rPr>
          <w:lang w:eastAsia="ru-RU"/>
        </w:rPr>
      </w:pPr>
    </w:p>
    <w:p w:rsidR="00975296" w:rsidRDefault="00121211" w:rsidP="0012121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Решение.</w:t>
      </w:r>
    </w:p>
    <w:p w:rsidR="00121211" w:rsidRDefault="00121211" w:rsidP="0012121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Определим восстановительную стоимость объекта недвижимости по формуле:</w:t>
      </w:r>
    </w:p>
    <w:p w:rsidR="00121211" w:rsidRDefault="00802F7B" w:rsidP="0012121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121211">
        <w:rPr>
          <w:rFonts w:ascii="Times New Roman" w:hAnsi="Times New Roman"/>
          <w:position w:val="-12"/>
          <w:sz w:val="28"/>
          <w:szCs w:val="28"/>
          <w:lang w:eastAsia="ru-RU"/>
        </w:rPr>
        <w:object w:dxaOrig="49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pt;height:18pt" o:ole="">
            <v:imagedata r:id="rId7" o:title=""/>
          </v:shape>
          <o:OLEObject Type="Embed" ProgID="Equation.3" ShapeID="_x0000_i1025" DrawAspect="Content" ObjectID="_1464852506" r:id="rId8"/>
        </w:object>
      </w:r>
      <w:r w:rsidR="00121211">
        <w:rPr>
          <w:rFonts w:ascii="Times New Roman" w:hAnsi="Times New Roman"/>
          <w:sz w:val="28"/>
          <w:szCs w:val="28"/>
          <w:lang w:eastAsia="ru-RU"/>
        </w:rPr>
        <w:t xml:space="preserve"> ,</w:t>
      </w:r>
    </w:p>
    <w:p w:rsidR="00807F16" w:rsidRPr="00802F7B" w:rsidRDefault="00121211" w:rsidP="00807F1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где </w:t>
      </w:r>
      <w:r w:rsidR="00807F16" w:rsidRPr="00B258C5">
        <w:rPr>
          <w:sz w:val="28"/>
          <w:szCs w:val="28"/>
        </w:rPr>
        <w:t>Ф</w:t>
      </w:r>
      <w:r w:rsidR="00807F16" w:rsidRPr="00B258C5">
        <w:rPr>
          <w:sz w:val="28"/>
          <w:szCs w:val="28"/>
          <w:vertAlign w:val="subscript"/>
        </w:rPr>
        <w:t>в</w:t>
      </w:r>
      <w:r w:rsidR="00802F7B">
        <w:rPr>
          <w:sz w:val="28"/>
          <w:szCs w:val="28"/>
          <w:vertAlign w:val="subscript"/>
        </w:rPr>
        <w:t>2010</w:t>
      </w:r>
      <w:r w:rsidR="00807F16" w:rsidRPr="00B258C5">
        <w:rPr>
          <w:sz w:val="28"/>
          <w:szCs w:val="28"/>
        </w:rPr>
        <w:t xml:space="preserve"> </w:t>
      </w:r>
      <w:r w:rsidR="00807F16" w:rsidRPr="00802F7B">
        <w:rPr>
          <w:rFonts w:ascii="Times New Roman" w:hAnsi="Times New Roman"/>
          <w:sz w:val="28"/>
          <w:szCs w:val="28"/>
        </w:rPr>
        <w:t>– восстановительная стоимость;</w:t>
      </w:r>
    </w:p>
    <w:p w:rsidR="00807F16" w:rsidRPr="00802F7B" w:rsidRDefault="00807F16" w:rsidP="00807F16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02F7B">
        <w:rPr>
          <w:rFonts w:ascii="Times New Roman" w:hAnsi="Times New Roman"/>
          <w:sz w:val="28"/>
          <w:szCs w:val="28"/>
        </w:rPr>
        <w:t>Ф</w:t>
      </w:r>
      <w:r w:rsidRPr="00802F7B">
        <w:rPr>
          <w:rFonts w:ascii="Times New Roman" w:hAnsi="Times New Roman"/>
          <w:sz w:val="28"/>
          <w:szCs w:val="28"/>
          <w:vertAlign w:val="subscript"/>
        </w:rPr>
        <w:t>смр.</w:t>
      </w:r>
      <w:r w:rsidRPr="00802F7B">
        <w:rPr>
          <w:rFonts w:ascii="Times New Roman" w:hAnsi="Times New Roman"/>
          <w:sz w:val="28"/>
          <w:szCs w:val="28"/>
        </w:rPr>
        <w:t xml:space="preserve"> </w:t>
      </w:r>
      <w:r w:rsidRPr="00802F7B">
        <w:rPr>
          <w:rFonts w:ascii="Times New Roman" w:hAnsi="Times New Roman"/>
          <w:sz w:val="28"/>
          <w:szCs w:val="28"/>
          <w:vertAlign w:val="subscript"/>
        </w:rPr>
        <w:t>1991</w:t>
      </w:r>
      <w:r w:rsidRPr="00802F7B">
        <w:rPr>
          <w:rFonts w:ascii="Times New Roman" w:hAnsi="Times New Roman"/>
          <w:sz w:val="28"/>
          <w:szCs w:val="28"/>
        </w:rPr>
        <w:t xml:space="preserve"> – стоимость строительно-монтажных работ в ценах 1991 г., тыс., р.;</w:t>
      </w:r>
    </w:p>
    <w:p w:rsidR="00807F16" w:rsidRDefault="00802F7B" w:rsidP="00802F7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02F7B">
        <w:rPr>
          <w:rFonts w:ascii="Times New Roman" w:hAnsi="Times New Roman"/>
          <w:position w:val="-12"/>
          <w:sz w:val="28"/>
          <w:szCs w:val="28"/>
        </w:rPr>
        <w:object w:dxaOrig="1880" w:dyaOrig="360">
          <v:shape id="_x0000_i1026" type="#_x0000_t75" style="width:93.75pt;height:18pt" o:ole="">
            <v:imagedata r:id="rId9" o:title=""/>
          </v:shape>
          <o:OLEObject Type="Embed" ProgID="Equation.3" ShapeID="_x0000_i1026" DrawAspect="Content" ObjectID="_1464852507" r:id="rId10"/>
        </w:object>
      </w:r>
      <w:r w:rsidR="00807F16" w:rsidRPr="00802F7B">
        <w:rPr>
          <w:rFonts w:ascii="Times New Roman" w:hAnsi="Times New Roman"/>
          <w:sz w:val="28"/>
          <w:szCs w:val="28"/>
        </w:rPr>
        <w:t xml:space="preserve">– </w:t>
      </w:r>
      <w:r w:rsidR="00807F16" w:rsidRPr="00807F16">
        <w:rPr>
          <w:rFonts w:ascii="Times New Roman" w:hAnsi="Times New Roman"/>
          <w:sz w:val="28"/>
          <w:szCs w:val="28"/>
        </w:rPr>
        <w:t>удорожающие коэффициенты;</w:t>
      </w:r>
    </w:p>
    <w:p w:rsidR="00802F7B" w:rsidRDefault="00802F7B" w:rsidP="00802F7B">
      <w:pPr>
        <w:spacing w:line="360" w:lineRule="auto"/>
        <w:ind w:firstLine="709"/>
        <w:jc w:val="both"/>
        <w:rPr>
          <w:sz w:val="28"/>
          <w:szCs w:val="28"/>
        </w:rPr>
      </w:pPr>
      <w:r w:rsidRPr="00AE084A">
        <w:rPr>
          <w:position w:val="-12"/>
        </w:rPr>
        <w:object w:dxaOrig="580" w:dyaOrig="360">
          <v:shape id="_x0000_i1027" type="#_x0000_t75" style="width:29.25pt;height:18pt" o:ole="">
            <v:imagedata r:id="rId11" o:title=""/>
          </v:shape>
          <o:OLEObject Type="Embed" ProgID="Equation.3" ShapeID="_x0000_i1027" DrawAspect="Content" ObjectID="_1464852508" r:id="rId12"/>
        </w:object>
      </w:r>
      <w:r w:rsidRPr="00B258C5">
        <w:rPr>
          <w:sz w:val="28"/>
          <w:szCs w:val="28"/>
        </w:rPr>
        <w:t>– индекс перевода цен стоимости на дату оценки</w:t>
      </w:r>
      <w:r>
        <w:rPr>
          <w:sz w:val="28"/>
          <w:szCs w:val="28"/>
        </w:rPr>
        <w:t>.</w:t>
      </w:r>
    </w:p>
    <w:p w:rsidR="00802F7B" w:rsidRPr="000968DE" w:rsidRDefault="00802F7B" w:rsidP="00802F7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1211">
        <w:rPr>
          <w:rFonts w:ascii="Times New Roman" w:hAnsi="Times New Roman"/>
          <w:position w:val="-12"/>
          <w:sz w:val="28"/>
          <w:szCs w:val="28"/>
          <w:lang w:eastAsia="ru-RU"/>
        </w:rPr>
        <w:object w:dxaOrig="920" w:dyaOrig="360">
          <v:shape id="_x0000_i1028" type="#_x0000_t75" style="width:45.75pt;height:18pt" o:ole="">
            <v:imagedata r:id="rId13" o:title=""/>
          </v:shape>
          <o:OLEObject Type="Embed" ProgID="Equation.3" ShapeID="_x0000_i1028" DrawAspect="Content" ObjectID="_1464852509" r:id="rId14"/>
        </w:object>
      </w:r>
      <w:r>
        <w:rPr>
          <w:rFonts w:ascii="Times New Roman" w:hAnsi="Times New Roman"/>
          <w:sz w:val="28"/>
          <w:szCs w:val="28"/>
          <w:lang w:val="en-US" w:eastAsia="ru-RU"/>
        </w:rPr>
        <w:t>153*1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val="en-US" w:eastAsia="ru-RU"/>
        </w:rPr>
        <w:t>08</w:t>
      </w:r>
      <w:r>
        <w:rPr>
          <w:rFonts w:ascii="Times New Roman" w:hAnsi="Times New Roman"/>
          <w:sz w:val="28"/>
          <w:szCs w:val="28"/>
          <w:lang w:eastAsia="ru-RU"/>
        </w:rPr>
        <w:t>*1,18*1,015*1,01*1,66*1,008*40,094=</w:t>
      </w:r>
      <w:r w:rsidR="000968DE">
        <w:rPr>
          <w:rFonts w:ascii="Times New Roman" w:hAnsi="Times New Roman"/>
          <w:sz w:val="28"/>
          <w:szCs w:val="28"/>
          <w:lang w:eastAsia="ru-RU"/>
        </w:rPr>
        <w:t>13410,1185 тыс.,р.</w:t>
      </w:r>
      <w:bookmarkStart w:id="4" w:name="_GoBack"/>
      <w:bookmarkEnd w:id="4"/>
    </w:p>
    <w:sectPr w:rsidR="00802F7B" w:rsidRPr="000968DE" w:rsidSect="00975296">
      <w:footerReference w:type="default" r:id="rId15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1D6D" w:rsidRDefault="00961D6D" w:rsidP="00975296">
      <w:pPr>
        <w:spacing w:after="0" w:line="240" w:lineRule="auto"/>
      </w:pPr>
      <w:r>
        <w:separator/>
      </w:r>
    </w:p>
  </w:endnote>
  <w:endnote w:type="continuationSeparator" w:id="0">
    <w:p w:rsidR="00961D6D" w:rsidRDefault="00961D6D" w:rsidP="009752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296" w:rsidRDefault="00975296">
    <w:pPr>
      <w:pStyle w:val="a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8351A">
      <w:rPr>
        <w:noProof/>
      </w:rPr>
      <w:t>2</w:t>
    </w:r>
    <w:r>
      <w:fldChar w:fldCharType="end"/>
    </w:r>
  </w:p>
  <w:p w:rsidR="00975296" w:rsidRDefault="0097529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1D6D" w:rsidRDefault="00961D6D" w:rsidP="00975296">
      <w:pPr>
        <w:spacing w:after="0" w:line="240" w:lineRule="auto"/>
      </w:pPr>
      <w:r>
        <w:separator/>
      </w:r>
    </w:p>
  </w:footnote>
  <w:footnote w:type="continuationSeparator" w:id="0">
    <w:p w:rsidR="00961D6D" w:rsidRDefault="00961D6D" w:rsidP="009752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6825CD"/>
    <w:multiLevelType w:val="hybridMultilevel"/>
    <w:tmpl w:val="FD74D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1D4F"/>
    <w:rsid w:val="000968DE"/>
    <w:rsid w:val="00121211"/>
    <w:rsid w:val="00487021"/>
    <w:rsid w:val="00554DC1"/>
    <w:rsid w:val="00613DD0"/>
    <w:rsid w:val="007836D8"/>
    <w:rsid w:val="00802F7B"/>
    <w:rsid w:val="00807F16"/>
    <w:rsid w:val="00810F4F"/>
    <w:rsid w:val="00961D6D"/>
    <w:rsid w:val="00975296"/>
    <w:rsid w:val="0098351A"/>
    <w:rsid w:val="00BE6C58"/>
    <w:rsid w:val="00CF7A68"/>
    <w:rsid w:val="00D627FC"/>
    <w:rsid w:val="00DC255E"/>
    <w:rsid w:val="00E20F78"/>
    <w:rsid w:val="00EE1D4F"/>
    <w:rsid w:val="00F365C1"/>
    <w:rsid w:val="00F44F12"/>
    <w:rsid w:val="00F7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6D795591-4961-46A8-83FF-1E95F509C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1D4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365C1"/>
    <w:pPr>
      <w:keepNext/>
      <w:keepLines/>
      <w:spacing w:before="480" w:after="0"/>
      <w:outlineLvl w:val="0"/>
    </w:pPr>
    <w:rPr>
      <w:rFonts w:ascii="Arial" w:eastAsia="Times New Roman" w:hAnsi="Arial"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65C1"/>
    <w:rPr>
      <w:rFonts w:ascii="Arial" w:eastAsia="Times New Roman" w:hAnsi="Arial" w:cs="Times New Roman"/>
      <w:b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EE1D4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97529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75296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97529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75296"/>
    <w:rPr>
      <w:sz w:val="22"/>
      <w:szCs w:val="22"/>
      <w:lang w:eastAsia="en-US"/>
    </w:rPr>
  </w:style>
  <w:style w:type="paragraph" w:styleId="a8">
    <w:name w:val="TOC Heading"/>
    <w:basedOn w:val="1"/>
    <w:next w:val="a"/>
    <w:uiPriority w:val="39"/>
    <w:qFormat/>
    <w:rsid w:val="00975296"/>
    <w:pPr>
      <w:outlineLvl w:val="9"/>
    </w:pPr>
    <w:rPr>
      <w:rFonts w:ascii="Cambria" w:hAnsi="Cambria"/>
      <w:b/>
      <w:color w:val="365F91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975296"/>
  </w:style>
  <w:style w:type="character" w:styleId="a9">
    <w:name w:val="Hyperlink"/>
    <w:basedOn w:val="a0"/>
    <w:uiPriority w:val="99"/>
    <w:unhideWhenUsed/>
    <w:rsid w:val="00975296"/>
    <w:rPr>
      <w:color w:val="0000FF"/>
      <w:u w:val="single"/>
    </w:rPr>
  </w:style>
  <w:style w:type="paragraph" w:styleId="aa">
    <w:name w:val="Body Text Indent"/>
    <w:basedOn w:val="a"/>
    <w:link w:val="ab"/>
    <w:rsid w:val="00975296"/>
    <w:pPr>
      <w:widowControl w:val="0"/>
      <w:spacing w:after="120" w:line="240" w:lineRule="auto"/>
      <w:ind w:left="283" w:firstLine="260"/>
      <w:jc w:val="both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975296"/>
    <w:rPr>
      <w:rFonts w:ascii="Times New Roman" w:eastAsia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1400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9364</CharactersWithSpaces>
  <SharedDoc>false</SharedDoc>
  <HLinks>
    <vt:vector size="24" baseType="variant">
      <vt:variant>
        <vt:i4>1638459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_Toc289849475</vt:lpwstr>
      </vt:variant>
      <vt:variant>
        <vt:i4>1638459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_Toc289849474</vt:lpwstr>
      </vt:variant>
      <vt:variant>
        <vt:i4>1638459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_Toc289849473</vt:lpwstr>
      </vt:variant>
      <vt:variant>
        <vt:i4>1638459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_Toc289849472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2014-06-21T07:42:00Z</dcterms:created>
  <dcterms:modified xsi:type="dcterms:W3CDTF">2014-06-21T07:42:00Z</dcterms:modified>
</cp:coreProperties>
</file>