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4E8E" w:rsidRPr="00B0699D" w:rsidRDefault="00474E8E" w:rsidP="00474E8E">
      <w:pPr>
        <w:spacing w:after="0" w:line="360" w:lineRule="auto"/>
        <w:ind w:firstLine="709"/>
        <w:jc w:val="both"/>
        <w:rPr>
          <w:rFonts w:ascii="Times New Roman" w:hAnsi="Times New Roman"/>
          <w:noProof/>
          <w:color w:val="000000"/>
          <w:sz w:val="28"/>
          <w:lang w:val="uk-UA"/>
        </w:rPr>
      </w:pPr>
      <w:bookmarkStart w:id="0" w:name="_Toc228346834"/>
      <w:r w:rsidRPr="00B0699D">
        <w:rPr>
          <w:rFonts w:ascii="Times New Roman" w:hAnsi="Times New Roman"/>
          <w:noProof/>
          <w:color w:val="000000"/>
          <w:sz w:val="28"/>
          <w:lang w:val="uk-UA"/>
        </w:rPr>
        <w:t>План</w:t>
      </w:r>
    </w:p>
    <w:p w:rsidR="00474E8E" w:rsidRPr="00B0699D" w:rsidRDefault="00474E8E" w:rsidP="00474E8E">
      <w:pPr>
        <w:spacing w:after="0" w:line="360" w:lineRule="auto"/>
        <w:ind w:firstLine="709"/>
        <w:jc w:val="both"/>
        <w:rPr>
          <w:rFonts w:ascii="Times New Roman" w:hAnsi="Times New Roman"/>
          <w:noProof/>
          <w:color w:val="000000"/>
          <w:sz w:val="28"/>
          <w:lang w:val="uk-UA"/>
        </w:rPr>
      </w:pPr>
    </w:p>
    <w:p w:rsidR="00474E8E" w:rsidRPr="00B0699D" w:rsidRDefault="00474E8E" w:rsidP="00474E8E">
      <w:pPr>
        <w:spacing w:after="0" w:line="360" w:lineRule="auto"/>
        <w:jc w:val="both"/>
        <w:rPr>
          <w:rFonts w:ascii="Times New Roman" w:hAnsi="Times New Roman"/>
          <w:noProof/>
          <w:color w:val="000000"/>
          <w:sz w:val="28"/>
          <w:lang w:val="uk-UA"/>
        </w:rPr>
      </w:pPr>
      <w:r w:rsidRPr="00B0699D">
        <w:rPr>
          <w:rFonts w:ascii="Times New Roman" w:hAnsi="Times New Roman"/>
          <w:noProof/>
          <w:color w:val="000000"/>
          <w:sz w:val="28"/>
          <w:lang w:val="uk-UA"/>
        </w:rPr>
        <w:t>Вступ</w:t>
      </w:r>
    </w:p>
    <w:p w:rsidR="00474E8E" w:rsidRPr="00B0699D" w:rsidRDefault="00474E8E" w:rsidP="00474E8E">
      <w:pPr>
        <w:spacing w:after="0" w:line="360" w:lineRule="auto"/>
        <w:jc w:val="both"/>
        <w:rPr>
          <w:rFonts w:ascii="Times New Roman" w:hAnsi="Times New Roman"/>
          <w:noProof/>
          <w:color w:val="000000"/>
          <w:sz w:val="28"/>
          <w:lang w:val="uk-UA"/>
        </w:rPr>
      </w:pPr>
      <w:r w:rsidRPr="00B0699D">
        <w:rPr>
          <w:rFonts w:ascii="Times New Roman" w:hAnsi="Times New Roman"/>
          <w:noProof/>
          <w:color w:val="000000"/>
          <w:sz w:val="28"/>
          <w:lang w:val="uk-UA"/>
        </w:rPr>
        <w:t>Розділ 1. Інститут гетьманства та генеральної старшини в політичній системі Української козацької держави XVII ст.</w:t>
      </w:r>
    </w:p>
    <w:p w:rsidR="00474E8E" w:rsidRPr="00B0699D" w:rsidRDefault="00474E8E" w:rsidP="00474E8E">
      <w:pPr>
        <w:spacing w:after="0" w:line="360" w:lineRule="auto"/>
        <w:jc w:val="both"/>
        <w:rPr>
          <w:rFonts w:ascii="Times New Roman" w:hAnsi="Times New Roman"/>
          <w:noProof/>
          <w:color w:val="000000"/>
          <w:sz w:val="28"/>
          <w:lang w:val="uk-UA"/>
        </w:rPr>
      </w:pPr>
      <w:r w:rsidRPr="00B0699D">
        <w:rPr>
          <w:rFonts w:ascii="Times New Roman" w:hAnsi="Times New Roman"/>
          <w:noProof/>
          <w:color w:val="000000"/>
          <w:sz w:val="28"/>
          <w:lang w:val="uk-UA"/>
        </w:rPr>
        <w:t>1.1</w:t>
      </w:r>
      <w:r w:rsidRPr="00B0699D">
        <w:rPr>
          <w:rFonts w:ascii="Times New Roman" w:hAnsi="Times New Roman"/>
          <w:noProof/>
          <w:color w:val="000000"/>
          <w:sz w:val="28"/>
          <w:lang w:val="uk-UA"/>
        </w:rPr>
        <w:tab/>
        <w:t>Наукова дослідженість визначеної проблематики</w:t>
      </w:r>
    </w:p>
    <w:p w:rsidR="00474E8E" w:rsidRPr="00B0699D" w:rsidRDefault="00474E8E" w:rsidP="00474E8E">
      <w:pPr>
        <w:spacing w:after="0" w:line="360" w:lineRule="auto"/>
        <w:jc w:val="both"/>
        <w:rPr>
          <w:rFonts w:ascii="Times New Roman" w:hAnsi="Times New Roman"/>
          <w:noProof/>
          <w:color w:val="000000"/>
          <w:sz w:val="28"/>
          <w:lang w:val="uk-UA"/>
        </w:rPr>
      </w:pPr>
      <w:r w:rsidRPr="00B0699D">
        <w:rPr>
          <w:rFonts w:ascii="Times New Roman" w:hAnsi="Times New Roman"/>
          <w:noProof/>
          <w:color w:val="000000"/>
          <w:sz w:val="28"/>
          <w:lang w:val="uk-UA"/>
        </w:rPr>
        <w:t>1.2</w:t>
      </w:r>
      <w:r w:rsidRPr="00B0699D">
        <w:rPr>
          <w:rFonts w:ascii="Times New Roman" w:hAnsi="Times New Roman"/>
          <w:noProof/>
          <w:color w:val="000000"/>
          <w:sz w:val="28"/>
          <w:lang w:val="uk-UA"/>
        </w:rPr>
        <w:tab/>
        <w:t>Характеристика інституту гетьманства, як уособлення верховної влади</w:t>
      </w:r>
    </w:p>
    <w:p w:rsidR="00474E8E" w:rsidRPr="00B0699D" w:rsidRDefault="00474E8E" w:rsidP="00474E8E">
      <w:pPr>
        <w:spacing w:after="0" w:line="360" w:lineRule="auto"/>
        <w:jc w:val="both"/>
        <w:rPr>
          <w:rFonts w:ascii="Times New Roman" w:hAnsi="Times New Roman"/>
          <w:noProof/>
          <w:color w:val="000000"/>
          <w:sz w:val="28"/>
          <w:lang w:val="uk-UA"/>
        </w:rPr>
      </w:pPr>
      <w:r w:rsidRPr="00B0699D">
        <w:rPr>
          <w:rFonts w:ascii="Times New Roman" w:hAnsi="Times New Roman"/>
          <w:noProof/>
          <w:color w:val="000000"/>
          <w:sz w:val="28"/>
          <w:lang w:val="uk-UA"/>
        </w:rPr>
        <w:t>1.3</w:t>
      </w:r>
      <w:r w:rsidRPr="00B0699D">
        <w:rPr>
          <w:rFonts w:ascii="Times New Roman" w:hAnsi="Times New Roman"/>
          <w:noProof/>
          <w:color w:val="000000"/>
          <w:sz w:val="28"/>
          <w:lang w:val="uk-UA"/>
        </w:rPr>
        <w:tab/>
        <w:t>Ге</w:t>
      </w:r>
      <w:r w:rsidR="00BF16C3">
        <w:rPr>
          <w:rFonts w:ascii="Times New Roman" w:hAnsi="Times New Roman"/>
          <w:noProof/>
          <w:color w:val="000000"/>
          <w:sz w:val="28"/>
          <w:lang w:val="uk-UA"/>
        </w:rPr>
        <w:t>н</w:t>
      </w:r>
      <w:r w:rsidRPr="00B0699D">
        <w:rPr>
          <w:rFonts w:ascii="Times New Roman" w:hAnsi="Times New Roman"/>
          <w:noProof/>
          <w:color w:val="000000"/>
          <w:sz w:val="28"/>
          <w:lang w:val="uk-UA"/>
        </w:rPr>
        <w:t>еральна та Старшинська ради - ограни політичної влади Українськ</w:t>
      </w:r>
      <w:r w:rsidR="00BF16C3">
        <w:rPr>
          <w:rFonts w:ascii="Times New Roman" w:hAnsi="Times New Roman"/>
          <w:noProof/>
          <w:color w:val="000000"/>
          <w:sz w:val="28"/>
          <w:lang w:val="uk-UA"/>
        </w:rPr>
        <w:t>ої козацької держави в XVII ст.</w:t>
      </w:r>
    </w:p>
    <w:p w:rsidR="00474E8E" w:rsidRPr="00B0699D" w:rsidRDefault="00474E8E" w:rsidP="00474E8E">
      <w:pPr>
        <w:spacing w:after="0" w:line="360" w:lineRule="auto"/>
        <w:jc w:val="both"/>
        <w:rPr>
          <w:rFonts w:ascii="Times New Roman" w:hAnsi="Times New Roman"/>
          <w:noProof/>
          <w:color w:val="000000"/>
          <w:sz w:val="28"/>
          <w:lang w:val="uk-UA"/>
        </w:rPr>
      </w:pPr>
      <w:r w:rsidRPr="00B0699D">
        <w:rPr>
          <w:rFonts w:ascii="Times New Roman" w:hAnsi="Times New Roman"/>
          <w:noProof/>
          <w:color w:val="000000"/>
          <w:sz w:val="28"/>
          <w:lang w:val="uk-UA"/>
        </w:rPr>
        <w:t>1.4</w:t>
      </w:r>
      <w:r w:rsidRPr="00B0699D">
        <w:rPr>
          <w:rFonts w:ascii="Times New Roman" w:hAnsi="Times New Roman"/>
          <w:noProof/>
          <w:color w:val="000000"/>
          <w:sz w:val="28"/>
          <w:lang w:val="uk-UA"/>
        </w:rPr>
        <w:tab/>
        <w:t>Роль генеральної старшини в структурі політичної влади Гетьманату</w:t>
      </w:r>
    </w:p>
    <w:p w:rsidR="00474E8E" w:rsidRPr="00B0699D" w:rsidRDefault="00474E8E" w:rsidP="00474E8E">
      <w:pPr>
        <w:spacing w:after="0" w:line="360" w:lineRule="auto"/>
        <w:jc w:val="both"/>
        <w:rPr>
          <w:rFonts w:ascii="Times New Roman" w:hAnsi="Times New Roman"/>
          <w:noProof/>
          <w:color w:val="000000"/>
          <w:sz w:val="28"/>
          <w:lang w:val="uk-UA"/>
        </w:rPr>
      </w:pPr>
      <w:r w:rsidRPr="00B0699D">
        <w:rPr>
          <w:rFonts w:ascii="Times New Roman" w:hAnsi="Times New Roman"/>
          <w:noProof/>
          <w:color w:val="000000"/>
          <w:sz w:val="28"/>
          <w:lang w:val="uk-UA"/>
        </w:rPr>
        <w:t>Розділ 2. Структура адміністративного поділу та судова і виконавча влада Української козацької держави у XVII ст.</w:t>
      </w:r>
    </w:p>
    <w:p w:rsidR="00474E8E" w:rsidRPr="00B0699D" w:rsidRDefault="00474E8E" w:rsidP="00474E8E">
      <w:pPr>
        <w:spacing w:after="0" w:line="360" w:lineRule="auto"/>
        <w:jc w:val="both"/>
        <w:rPr>
          <w:rFonts w:ascii="Times New Roman" w:hAnsi="Times New Roman"/>
          <w:noProof/>
          <w:color w:val="000000"/>
          <w:sz w:val="28"/>
          <w:lang w:val="uk-UA"/>
        </w:rPr>
      </w:pPr>
      <w:r w:rsidRPr="00B0699D">
        <w:rPr>
          <w:rFonts w:ascii="Times New Roman" w:hAnsi="Times New Roman"/>
          <w:noProof/>
          <w:color w:val="000000"/>
          <w:sz w:val="28"/>
          <w:lang w:val="uk-UA"/>
        </w:rPr>
        <w:t>2.1</w:t>
      </w:r>
      <w:r w:rsidRPr="00B0699D">
        <w:rPr>
          <w:rFonts w:ascii="Times New Roman" w:hAnsi="Times New Roman"/>
          <w:noProof/>
          <w:color w:val="000000"/>
          <w:sz w:val="28"/>
          <w:lang w:val="uk-UA"/>
        </w:rPr>
        <w:tab/>
        <w:t>Структура полкового та сотенного управління</w:t>
      </w:r>
    </w:p>
    <w:p w:rsidR="00474E8E" w:rsidRPr="00B0699D" w:rsidRDefault="00474E8E" w:rsidP="00474E8E">
      <w:pPr>
        <w:spacing w:after="0" w:line="360" w:lineRule="auto"/>
        <w:jc w:val="both"/>
        <w:rPr>
          <w:rFonts w:ascii="Times New Roman" w:hAnsi="Times New Roman"/>
          <w:noProof/>
          <w:color w:val="000000"/>
          <w:sz w:val="28"/>
          <w:lang w:val="uk-UA"/>
        </w:rPr>
      </w:pPr>
      <w:r w:rsidRPr="00B0699D">
        <w:rPr>
          <w:rFonts w:ascii="Times New Roman" w:hAnsi="Times New Roman"/>
          <w:noProof/>
          <w:color w:val="000000"/>
          <w:sz w:val="28"/>
          <w:lang w:val="uk-UA"/>
        </w:rPr>
        <w:t>2.2</w:t>
      </w:r>
      <w:r w:rsidRPr="00B0699D">
        <w:rPr>
          <w:rFonts w:ascii="Times New Roman" w:hAnsi="Times New Roman"/>
          <w:noProof/>
          <w:color w:val="000000"/>
          <w:sz w:val="28"/>
          <w:lang w:val="uk-UA"/>
        </w:rPr>
        <w:tab/>
        <w:t>Органи виконавчої та судової влади Української козацької держави XVII ст.</w:t>
      </w:r>
    </w:p>
    <w:p w:rsidR="00474E8E" w:rsidRPr="00B0699D" w:rsidRDefault="00474E8E" w:rsidP="00474E8E">
      <w:pPr>
        <w:spacing w:after="0" w:line="360" w:lineRule="auto"/>
        <w:jc w:val="both"/>
        <w:rPr>
          <w:rFonts w:ascii="Times New Roman" w:hAnsi="Times New Roman"/>
          <w:noProof/>
          <w:color w:val="000000"/>
          <w:sz w:val="28"/>
          <w:lang w:val="uk-UA"/>
        </w:rPr>
      </w:pPr>
      <w:r w:rsidRPr="00B0699D">
        <w:rPr>
          <w:rFonts w:ascii="Times New Roman" w:hAnsi="Times New Roman"/>
          <w:noProof/>
          <w:color w:val="000000"/>
          <w:sz w:val="28"/>
          <w:lang w:val="uk-UA"/>
        </w:rPr>
        <w:t>Висновки</w:t>
      </w:r>
    </w:p>
    <w:p w:rsidR="00474E8E" w:rsidRPr="00B0699D" w:rsidRDefault="00474E8E" w:rsidP="00474E8E">
      <w:pPr>
        <w:spacing w:after="0" w:line="360" w:lineRule="auto"/>
        <w:jc w:val="both"/>
        <w:rPr>
          <w:rFonts w:ascii="Times New Roman" w:hAnsi="Times New Roman"/>
          <w:noProof/>
          <w:color w:val="000000"/>
          <w:sz w:val="28"/>
          <w:lang w:val="uk-UA"/>
        </w:rPr>
      </w:pPr>
      <w:r w:rsidRPr="00B0699D">
        <w:rPr>
          <w:rFonts w:ascii="Times New Roman" w:hAnsi="Times New Roman"/>
          <w:noProof/>
          <w:color w:val="000000"/>
          <w:sz w:val="28"/>
          <w:lang w:val="uk-UA"/>
        </w:rPr>
        <w:t>С</w:t>
      </w:r>
      <w:r w:rsidR="00BF16C3">
        <w:rPr>
          <w:rFonts w:ascii="Times New Roman" w:hAnsi="Times New Roman"/>
          <w:noProof/>
          <w:color w:val="000000"/>
          <w:sz w:val="28"/>
          <w:lang w:val="uk-UA"/>
        </w:rPr>
        <w:t>писок використаної літератури</w:t>
      </w:r>
    </w:p>
    <w:p w:rsidR="0020197C" w:rsidRPr="00B0699D" w:rsidRDefault="00474E8E"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br w:type="page"/>
      </w:r>
      <w:r w:rsidR="0020197C" w:rsidRPr="00B0699D">
        <w:rPr>
          <w:rFonts w:ascii="Times New Roman" w:hAnsi="Times New Roman"/>
          <w:noProof/>
          <w:color w:val="000000"/>
          <w:sz w:val="28"/>
          <w:lang w:val="uk-UA"/>
        </w:rPr>
        <w:t>Вступ</w:t>
      </w:r>
      <w:bookmarkEnd w:id="0"/>
    </w:p>
    <w:p w:rsidR="00474E8E" w:rsidRPr="00B0699D" w:rsidRDefault="00474E8E" w:rsidP="00474E8E">
      <w:pPr>
        <w:spacing w:after="0" w:line="360" w:lineRule="auto"/>
        <w:ind w:firstLine="709"/>
        <w:jc w:val="both"/>
        <w:rPr>
          <w:rFonts w:ascii="Times New Roman" w:hAnsi="Times New Roman"/>
          <w:noProof/>
          <w:color w:val="000000"/>
          <w:sz w:val="28"/>
          <w:lang w:val="uk-UA"/>
        </w:rPr>
      </w:pPr>
    </w:p>
    <w:p w:rsidR="00EB285A" w:rsidRPr="00B0699D" w:rsidRDefault="00EB285A"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Актуальність теми. У період становлення і розвитку соціальної, демократичної, правової Української держави історичне минуле відіграє важливу роль. Чимало відповідей на питання про те, яким бути сучасному державотворенню, можна знайти в історії українського козацтва, вивчаючи зокрема, політичну систему козацької держави, організаційні структури, інститут гетьманства, генеральної старшини, органи судової та виконавчої влаади,</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досвід у міжнародній діяльності тощо. </w:t>
      </w:r>
    </w:p>
    <w:p w:rsidR="00EB285A" w:rsidRPr="00B0699D" w:rsidRDefault="00EB285A"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Еволюція сучасного механізму державної влади нашої країни пройшла довгий і складний шлях. Розвиток одного з складових елементів цього механізму – інституту глави держави – розпочався ще в епоху ранньофеодальної держави Давньої Русі в особі київських князів. Наслідуючи традиції княжої доби та керуючись прагненням до самостійного державного життя, український народ створив у XVII ст. свою власну державну організацію – козацьку республіку, на чолі адміністративного устрою якої знаходився гетьман. Його посада логічно уособлювала традиції князівського врядування. Неабиякий інтерес становлять і органи судової а виконавчої влади та інститут генеральної старшини української козацької держави.</w:t>
      </w:r>
    </w:p>
    <w:p w:rsidR="00EB285A" w:rsidRPr="00B0699D" w:rsidRDefault="00EB285A"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Правильне розуміння історичних закономірностей і процесів становлення Української держави, врахування набутого досвіду має велике значення не лише для сучасних науковців, але й урядовців. За умов становлення незалежної Української держави, її активної інтеграції до світового співтовариства значно посилився інтерес суспільства до минулого українського народу.</w:t>
      </w:r>
    </w:p>
    <w:p w:rsidR="00EB285A" w:rsidRPr="00B0699D" w:rsidRDefault="00EB285A"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Тому вивчення і узагальнення козацької спадщини, проблемний аналіз формування та розвитку політичної системи української козацької держави в XVII ст.: гетьманської влади, її найближчого оточення, а також судової та виконавчої влади, означеного періоду</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розширяє наше уявлення про козацтво як</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виразника національного духу та</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державотворчі процеси ранньомодерної України, чим і обумовлюється актуальність теми. </w:t>
      </w:r>
    </w:p>
    <w:p w:rsidR="00EB285A" w:rsidRPr="00B0699D" w:rsidRDefault="00EB285A"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Об’єктом дослідження є політична система української козацької держави XVII ст., як вияв влади нового типу.</w:t>
      </w:r>
    </w:p>
    <w:p w:rsidR="00EB285A" w:rsidRPr="00B0699D" w:rsidRDefault="00EB285A"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Предметом дослідження є процес виникнення і функціонування гетьманства, генеральної старшини, органів судової та виконавчої влади в середовищі українського козацтва в умовах перебування вітчизняних земель під</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іноземним поневоленням. </w:t>
      </w:r>
    </w:p>
    <w:p w:rsidR="00EB285A" w:rsidRPr="00B0699D" w:rsidRDefault="00EB285A"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Хронологічні межі дослідження визначаються XVII ст. Саме на цьому етапі у козацтва активно формуються організаційні структури, виникає влада гетьмана, яка поступово перетворюється з військової в адміністративно-військову владну посаду.</w:t>
      </w:r>
    </w:p>
    <w:p w:rsidR="00EB285A" w:rsidRPr="00B0699D" w:rsidRDefault="00EB285A"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Мета дослідження полягає в тому, щоб на основі комплексного вивчення наукових джерел, з’ясувати процес становлення політичної системи Української козацької держави XVII ст. </w:t>
      </w:r>
    </w:p>
    <w:p w:rsidR="00EB285A" w:rsidRPr="00B0699D" w:rsidRDefault="00EB285A"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Для реалізації зазначеної мети поставлені конкретні завдання дослідження:</w:t>
      </w:r>
    </w:p>
    <w:p w:rsidR="00EB285A" w:rsidRPr="00B0699D" w:rsidRDefault="00EB285A"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проаналізувати джерельну та історіографічну базу дослідження; на цій основі з’ясувати ступінь наукової розробки теми;</w:t>
      </w:r>
    </w:p>
    <w:p w:rsidR="00EB285A" w:rsidRPr="00B0699D" w:rsidRDefault="00935064"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проаналізувати функції та еволюцію</w:t>
      </w:r>
      <w:r w:rsidR="00EB285A" w:rsidRPr="00B0699D">
        <w:rPr>
          <w:rFonts w:ascii="Times New Roman" w:hAnsi="Times New Roman"/>
          <w:noProof/>
          <w:color w:val="000000"/>
          <w:sz w:val="28"/>
          <w:lang w:val="uk-UA"/>
        </w:rPr>
        <w:t xml:space="preserve"> інституту гетьманства в Україні</w:t>
      </w:r>
      <w:r w:rsidRPr="00B0699D">
        <w:rPr>
          <w:rFonts w:ascii="Times New Roman" w:hAnsi="Times New Roman"/>
          <w:noProof/>
          <w:color w:val="000000"/>
          <w:sz w:val="28"/>
          <w:lang w:val="uk-UA"/>
        </w:rPr>
        <w:t xml:space="preserve"> в XVII ст.</w:t>
      </w:r>
      <w:r w:rsidR="00EB285A" w:rsidRPr="00B0699D">
        <w:rPr>
          <w:rFonts w:ascii="Times New Roman" w:hAnsi="Times New Roman"/>
          <w:noProof/>
          <w:color w:val="000000"/>
          <w:sz w:val="28"/>
          <w:lang w:val="uk-UA"/>
        </w:rPr>
        <w:t>;</w:t>
      </w:r>
    </w:p>
    <w:p w:rsidR="00935064" w:rsidRPr="00B0699D" w:rsidRDefault="002E2E83"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дати характеристику Генеральній та Старшинській радам, як органам політичного устрою Української</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козацької держави в XVII ст.;</w:t>
      </w:r>
    </w:p>
    <w:p w:rsidR="00EB285A" w:rsidRPr="00B0699D" w:rsidRDefault="00EB285A"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охарактеризувати </w:t>
      </w:r>
      <w:r w:rsidR="00935064" w:rsidRPr="00B0699D">
        <w:rPr>
          <w:rFonts w:ascii="Times New Roman" w:hAnsi="Times New Roman"/>
          <w:noProof/>
          <w:color w:val="000000"/>
          <w:sz w:val="28"/>
          <w:lang w:val="uk-UA"/>
        </w:rPr>
        <w:t>склад та функції</w:t>
      </w:r>
      <w:r w:rsidRPr="00B0699D">
        <w:rPr>
          <w:rFonts w:ascii="Times New Roman" w:hAnsi="Times New Roman"/>
          <w:noProof/>
          <w:color w:val="000000"/>
          <w:sz w:val="28"/>
          <w:lang w:val="uk-UA"/>
        </w:rPr>
        <w:t xml:space="preserve"> генеральної старшини;</w:t>
      </w:r>
    </w:p>
    <w:p w:rsidR="00EB285A" w:rsidRPr="00B0699D" w:rsidRDefault="00EB285A"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проаналізувати особливості та </w:t>
      </w:r>
      <w:r w:rsidR="00FA0EB0" w:rsidRPr="00B0699D">
        <w:rPr>
          <w:rFonts w:ascii="Times New Roman" w:hAnsi="Times New Roman"/>
          <w:noProof/>
          <w:color w:val="000000"/>
          <w:sz w:val="28"/>
          <w:lang w:val="uk-UA"/>
        </w:rPr>
        <w:t>функції органів виконавчої та судової влади</w:t>
      </w:r>
      <w:r w:rsidR="002E2E83" w:rsidRPr="00B0699D">
        <w:rPr>
          <w:rFonts w:ascii="Times New Roman" w:hAnsi="Times New Roman"/>
          <w:noProof/>
          <w:color w:val="000000"/>
          <w:sz w:val="28"/>
          <w:lang w:val="uk-UA"/>
        </w:rPr>
        <w:t>, а також адміністративного поділу і управління</w:t>
      </w:r>
      <w:r w:rsidR="00FA0EB0" w:rsidRPr="00B0699D">
        <w:rPr>
          <w:rFonts w:ascii="Times New Roman" w:hAnsi="Times New Roman"/>
          <w:noProof/>
          <w:color w:val="000000"/>
          <w:sz w:val="28"/>
          <w:lang w:val="uk-UA"/>
        </w:rPr>
        <w:t xml:space="preserve"> Української козацької держави в XVII ст.</w:t>
      </w:r>
    </w:p>
    <w:p w:rsidR="00EB285A" w:rsidRPr="00B0699D" w:rsidRDefault="00EB285A"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Наукова новизна роботи полягає у тому, що в ній:</w:t>
      </w:r>
    </w:p>
    <w:p w:rsidR="00EB285A" w:rsidRPr="00B0699D" w:rsidRDefault="00EB285A"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проведено дослідження </w:t>
      </w:r>
      <w:r w:rsidR="002E2E83" w:rsidRPr="00B0699D">
        <w:rPr>
          <w:rFonts w:ascii="Times New Roman" w:hAnsi="Times New Roman"/>
          <w:noProof/>
          <w:color w:val="000000"/>
          <w:sz w:val="28"/>
          <w:lang w:val="uk-UA"/>
        </w:rPr>
        <w:t>політико-адміністративного устрою Української козацької держави</w:t>
      </w:r>
      <w:r w:rsidRPr="00B0699D">
        <w:rPr>
          <w:rFonts w:ascii="Times New Roman" w:hAnsi="Times New Roman"/>
          <w:noProof/>
          <w:color w:val="000000"/>
          <w:sz w:val="28"/>
          <w:lang w:val="uk-UA"/>
        </w:rPr>
        <w:t xml:space="preserve"> в Україні XVII ст.; </w:t>
      </w:r>
    </w:p>
    <w:p w:rsidR="00FA0EB0" w:rsidRPr="00B0699D" w:rsidRDefault="00EB285A"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визначено </w:t>
      </w:r>
      <w:r w:rsidR="00FA0EB0" w:rsidRPr="00B0699D">
        <w:rPr>
          <w:rFonts w:ascii="Times New Roman" w:hAnsi="Times New Roman"/>
          <w:noProof/>
          <w:color w:val="000000"/>
          <w:sz w:val="28"/>
          <w:lang w:val="uk-UA"/>
        </w:rPr>
        <w:t>і</w:t>
      </w:r>
      <w:r w:rsidRPr="00B0699D">
        <w:rPr>
          <w:rFonts w:ascii="Times New Roman" w:hAnsi="Times New Roman"/>
          <w:noProof/>
          <w:color w:val="000000"/>
          <w:sz w:val="28"/>
          <w:lang w:val="uk-UA"/>
        </w:rPr>
        <w:t xml:space="preserve"> проаналізовано </w:t>
      </w:r>
      <w:r w:rsidR="00FA0EB0" w:rsidRPr="00B0699D">
        <w:rPr>
          <w:rFonts w:ascii="Times New Roman" w:hAnsi="Times New Roman"/>
          <w:noProof/>
          <w:color w:val="000000"/>
          <w:sz w:val="28"/>
          <w:lang w:val="uk-UA"/>
        </w:rPr>
        <w:t>становище та функціонування</w:t>
      </w:r>
      <w:r w:rsidR="00474E8E" w:rsidRPr="00B0699D">
        <w:rPr>
          <w:rFonts w:ascii="Times New Roman" w:hAnsi="Times New Roman"/>
          <w:noProof/>
          <w:color w:val="000000"/>
          <w:sz w:val="28"/>
          <w:lang w:val="uk-UA"/>
        </w:rPr>
        <w:t xml:space="preserve"> </w:t>
      </w:r>
      <w:r w:rsidR="002E2E83" w:rsidRPr="00B0699D">
        <w:rPr>
          <w:rFonts w:ascii="Times New Roman" w:hAnsi="Times New Roman"/>
          <w:noProof/>
          <w:color w:val="000000"/>
          <w:sz w:val="28"/>
          <w:lang w:val="uk-UA"/>
        </w:rPr>
        <w:t xml:space="preserve">інститутів гетьманства, Генеральної та Старшинської ради, Гнеральної страшини, </w:t>
      </w:r>
      <w:r w:rsidR="00FA0EB0" w:rsidRPr="00B0699D">
        <w:rPr>
          <w:rFonts w:ascii="Times New Roman" w:hAnsi="Times New Roman"/>
          <w:noProof/>
          <w:color w:val="000000"/>
          <w:sz w:val="28"/>
          <w:lang w:val="uk-UA"/>
        </w:rPr>
        <w:t>органів виконавчої та судової влади в Українській козацькій державі XVII ст.</w:t>
      </w:r>
    </w:p>
    <w:p w:rsidR="00EB285A" w:rsidRPr="00B0699D" w:rsidRDefault="00EB285A"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Практичне значення д</w:t>
      </w:r>
      <w:r w:rsidR="00FA0EB0" w:rsidRPr="00B0699D">
        <w:rPr>
          <w:rFonts w:ascii="Times New Roman" w:hAnsi="Times New Roman"/>
          <w:noProof/>
          <w:color w:val="000000"/>
          <w:sz w:val="28"/>
          <w:lang w:val="uk-UA"/>
        </w:rPr>
        <w:t>ослідження</w:t>
      </w:r>
      <w:r w:rsidRPr="00B0699D">
        <w:rPr>
          <w:rFonts w:ascii="Times New Roman" w:hAnsi="Times New Roman"/>
          <w:noProof/>
          <w:color w:val="000000"/>
          <w:sz w:val="28"/>
          <w:lang w:val="uk-UA"/>
        </w:rPr>
        <w:t xml:space="preserve"> полягає у можливості використання основних положень роботи при підготовці наукових праць узагальнюючого характеру з історії України; розробці лекцій і проведенні семінарських занять; написанні </w:t>
      </w:r>
      <w:r w:rsidR="00FA0EB0" w:rsidRPr="00B0699D">
        <w:rPr>
          <w:rFonts w:ascii="Times New Roman" w:hAnsi="Times New Roman"/>
          <w:noProof/>
          <w:color w:val="000000"/>
          <w:sz w:val="28"/>
          <w:lang w:val="uk-UA"/>
        </w:rPr>
        <w:t>наукових курсових та дипломних робіт з історії України</w:t>
      </w:r>
      <w:r w:rsidRPr="00B0699D">
        <w:rPr>
          <w:rFonts w:ascii="Times New Roman" w:hAnsi="Times New Roman"/>
          <w:noProof/>
          <w:color w:val="000000"/>
          <w:sz w:val="28"/>
          <w:lang w:val="uk-UA"/>
        </w:rPr>
        <w:t xml:space="preserve">, у тому числі з історії українського козацтва та українського війська, історії розвитку державності України тощо. </w:t>
      </w:r>
    </w:p>
    <w:p w:rsidR="00EB285A" w:rsidRPr="00B0699D" w:rsidRDefault="00EB285A"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Структура </w:t>
      </w:r>
      <w:r w:rsidR="00FA0EB0" w:rsidRPr="00B0699D">
        <w:rPr>
          <w:rFonts w:ascii="Times New Roman" w:hAnsi="Times New Roman"/>
          <w:noProof/>
          <w:color w:val="000000"/>
          <w:sz w:val="28"/>
          <w:lang w:val="uk-UA"/>
        </w:rPr>
        <w:t>курсової роботи</w:t>
      </w:r>
      <w:r w:rsidRPr="00B0699D">
        <w:rPr>
          <w:rFonts w:ascii="Times New Roman" w:hAnsi="Times New Roman"/>
          <w:noProof/>
          <w:color w:val="000000"/>
          <w:sz w:val="28"/>
          <w:lang w:val="uk-UA"/>
        </w:rPr>
        <w:t xml:space="preserve"> обумовленн</w:t>
      </w:r>
      <w:r w:rsidR="00FA0EB0" w:rsidRPr="00B0699D">
        <w:rPr>
          <w:rFonts w:ascii="Times New Roman" w:hAnsi="Times New Roman"/>
          <w:noProof/>
          <w:color w:val="000000"/>
          <w:sz w:val="28"/>
          <w:lang w:val="uk-UA"/>
        </w:rPr>
        <w:t>а</w:t>
      </w:r>
      <w:r w:rsidRPr="00B0699D">
        <w:rPr>
          <w:rFonts w:ascii="Times New Roman" w:hAnsi="Times New Roman"/>
          <w:noProof/>
          <w:color w:val="000000"/>
          <w:sz w:val="28"/>
          <w:lang w:val="uk-UA"/>
        </w:rPr>
        <w:t xml:space="preserve"> її метою та науковими завданнями. Робота складається зі вступу, </w:t>
      </w:r>
      <w:r w:rsidR="00FA0EB0" w:rsidRPr="00B0699D">
        <w:rPr>
          <w:rFonts w:ascii="Times New Roman" w:hAnsi="Times New Roman"/>
          <w:noProof/>
          <w:color w:val="000000"/>
          <w:sz w:val="28"/>
          <w:lang w:val="uk-UA"/>
        </w:rPr>
        <w:t>двох</w:t>
      </w:r>
      <w:r w:rsidRPr="00B0699D">
        <w:rPr>
          <w:rFonts w:ascii="Times New Roman" w:hAnsi="Times New Roman"/>
          <w:noProof/>
          <w:color w:val="000000"/>
          <w:sz w:val="28"/>
          <w:lang w:val="uk-UA"/>
        </w:rPr>
        <w:t xml:space="preserve"> розділів,</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висновків, списку використаних джерел та літератури</w:t>
      </w:r>
      <w:r w:rsidR="00FA0EB0" w:rsidRPr="00B0699D">
        <w:rPr>
          <w:rFonts w:ascii="Times New Roman" w:hAnsi="Times New Roman"/>
          <w:noProof/>
          <w:color w:val="000000"/>
          <w:sz w:val="28"/>
          <w:lang w:val="uk-UA"/>
        </w:rPr>
        <w:t>, який налічує</w:t>
      </w:r>
      <w:r w:rsidR="007B1E87" w:rsidRPr="00B0699D">
        <w:rPr>
          <w:rFonts w:ascii="Times New Roman" w:hAnsi="Times New Roman"/>
          <w:noProof/>
          <w:color w:val="000000"/>
          <w:sz w:val="28"/>
          <w:lang w:val="uk-UA"/>
        </w:rPr>
        <w:t xml:space="preserve"> </w:t>
      </w:r>
      <w:r w:rsidR="000A4F3D" w:rsidRPr="00B0699D">
        <w:rPr>
          <w:rFonts w:ascii="Times New Roman" w:hAnsi="Times New Roman"/>
          <w:noProof/>
          <w:color w:val="000000"/>
          <w:sz w:val="28"/>
          <w:lang w:val="uk-UA"/>
        </w:rPr>
        <w:t>30</w:t>
      </w:r>
      <w:r w:rsidRPr="00B0699D">
        <w:rPr>
          <w:rFonts w:ascii="Times New Roman" w:hAnsi="Times New Roman"/>
          <w:noProof/>
          <w:color w:val="000000"/>
          <w:sz w:val="28"/>
          <w:lang w:val="uk-UA"/>
        </w:rPr>
        <w:t xml:space="preserve"> найменувань.</w:t>
      </w:r>
    </w:p>
    <w:p w:rsidR="00FA0EB0" w:rsidRPr="00B0699D" w:rsidRDefault="00474E8E" w:rsidP="00474E8E">
      <w:pPr>
        <w:spacing w:after="0" w:line="360" w:lineRule="auto"/>
        <w:ind w:firstLine="709"/>
        <w:jc w:val="both"/>
        <w:rPr>
          <w:rFonts w:ascii="Times New Roman" w:hAnsi="Times New Roman"/>
          <w:noProof/>
          <w:color w:val="000000"/>
          <w:sz w:val="28"/>
          <w:lang w:val="uk-UA"/>
        </w:rPr>
      </w:pPr>
      <w:bookmarkStart w:id="1" w:name="_Toc228346835"/>
      <w:r w:rsidRPr="00B0699D">
        <w:rPr>
          <w:rFonts w:ascii="Times New Roman" w:hAnsi="Times New Roman"/>
          <w:noProof/>
          <w:color w:val="000000"/>
          <w:sz w:val="28"/>
          <w:lang w:val="uk-UA"/>
        </w:rPr>
        <w:br w:type="page"/>
      </w:r>
      <w:r w:rsidR="00FA0EB0" w:rsidRPr="00B0699D">
        <w:rPr>
          <w:rFonts w:ascii="Times New Roman" w:hAnsi="Times New Roman"/>
          <w:noProof/>
          <w:color w:val="000000"/>
          <w:sz w:val="28"/>
          <w:lang w:val="uk-UA"/>
        </w:rPr>
        <w:t xml:space="preserve">Розділ 1. Інститут гетьманства та генеральної старшини в політичній системі Української козацької держави XVII </w:t>
      </w:r>
      <w:r w:rsidR="00AF6CDA" w:rsidRPr="00B0699D">
        <w:rPr>
          <w:rFonts w:ascii="Times New Roman" w:hAnsi="Times New Roman"/>
          <w:noProof/>
          <w:color w:val="000000"/>
          <w:sz w:val="28"/>
          <w:lang w:val="uk-UA"/>
        </w:rPr>
        <w:t>ст.</w:t>
      </w:r>
      <w:bookmarkEnd w:id="1"/>
    </w:p>
    <w:p w:rsidR="00474E8E" w:rsidRPr="00B0699D" w:rsidRDefault="00474E8E" w:rsidP="00474E8E">
      <w:pPr>
        <w:spacing w:after="0" w:line="360" w:lineRule="auto"/>
        <w:ind w:firstLine="709"/>
        <w:jc w:val="both"/>
        <w:rPr>
          <w:rFonts w:ascii="Times New Roman" w:hAnsi="Times New Roman"/>
          <w:noProof/>
          <w:color w:val="000000"/>
          <w:sz w:val="28"/>
          <w:lang w:val="uk-UA"/>
        </w:rPr>
      </w:pPr>
      <w:bookmarkStart w:id="2" w:name="_Toc228346836"/>
    </w:p>
    <w:p w:rsidR="00FA0EB0" w:rsidRPr="00B0699D" w:rsidRDefault="00474E8E"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1.1 </w:t>
      </w:r>
      <w:r w:rsidR="00FA0EB0" w:rsidRPr="00B0699D">
        <w:rPr>
          <w:rFonts w:ascii="Times New Roman" w:hAnsi="Times New Roman"/>
          <w:noProof/>
          <w:color w:val="000000"/>
          <w:sz w:val="28"/>
          <w:lang w:val="uk-UA"/>
        </w:rPr>
        <w:t>Наукова дослідженість визначеної проблематики</w:t>
      </w:r>
      <w:bookmarkEnd w:id="2"/>
    </w:p>
    <w:p w:rsidR="00474E8E" w:rsidRPr="00B0699D" w:rsidRDefault="00474E8E" w:rsidP="00474E8E">
      <w:pPr>
        <w:spacing w:after="0" w:line="360" w:lineRule="auto"/>
        <w:ind w:firstLine="709"/>
        <w:jc w:val="both"/>
        <w:rPr>
          <w:rFonts w:ascii="Times New Roman" w:hAnsi="Times New Roman"/>
          <w:noProof/>
          <w:color w:val="000000"/>
          <w:sz w:val="28"/>
          <w:lang w:val="uk-UA"/>
        </w:rPr>
      </w:pPr>
    </w:p>
    <w:p w:rsidR="00FA0EB0" w:rsidRPr="00B0699D" w:rsidRDefault="00FA0EB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Незважаючи на те, що українська історична наука займається цими проблемами вже понад двох століть, дослідники лише наближаються до її розв’язання. Вперше питання про гетьманів українського козацтва порушили у своїх працях П.</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Симоновський, О.</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Рігельман, В.</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Рубан, а також Д.</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Бантиш-Каменський та М.Маркевич</w:t>
      </w:r>
      <w:r w:rsidR="006B59FD" w:rsidRPr="00B0699D">
        <w:rPr>
          <w:rFonts w:ascii="Times New Roman" w:hAnsi="Times New Roman"/>
          <w:noProof/>
          <w:color w:val="000000"/>
          <w:sz w:val="28"/>
          <w:lang w:val="uk-UA"/>
        </w:rPr>
        <w:t xml:space="preserve"> [7, 24]</w:t>
      </w:r>
      <w:r w:rsidRPr="00B0699D">
        <w:rPr>
          <w:rFonts w:ascii="Times New Roman" w:hAnsi="Times New Roman"/>
          <w:noProof/>
          <w:color w:val="000000"/>
          <w:sz w:val="28"/>
          <w:lang w:val="uk-UA"/>
        </w:rPr>
        <w:t>. У своїх синтетичних розвідках вони навели короткі відомості про боротьбу гетьманського війська з Кримом і Туреччиною у ХVI-XVII ст. Але ці праці насамперед містили нагромадження історичних матеріалів та фактів.</w:t>
      </w:r>
    </w:p>
    <w:p w:rsidR="00FA0EB0" w:rsidRPr="00B0699D" w:rsidRDefault="00FA0EB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Якісно новий етап у справі наукового дослідження військового устрою українського козацтва (в т.ч. і деяких питань діяльності козацьких гетьманів) розпочинається з середини ХІХ ст. Зокрема, проблему ґенези козацтва розкривають у своїх працях</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В.Антонович та М.</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Костомаров</w:t>
      </w:r>
      <w:r w:rsidR="006B59FD" w:rsidRPr="00B0699D">
        <w:rPr>
          <w:rFonts w:ascii="Times New Roman" w:hAnsi="Times New Roman"/>
          <w:noProof/>
          <w:color w:val="000000"/>
          <w:sz w:val="28"/>
          <w:lang w:val="uk-UA"/>
        </w:rPr>
        <w:t xml:space="preserve"> [1], [13, 48]</w:t>
      </w:r>
      <w:r w:rsidRPr="00B0699D">
        <w:rPr>
          <w:rFonts w:ascii="Times New Roman" w:hAnsi="Times New Roman"/>
          <w:noProof/>
          <w:color w:val="000000"/>
          <w:sz w:val="28"/>
          <w:lang w:val="uk-UA"/>
        </w:rPr>
        <w:t>. Так, М.</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Костомаров залишив розвідку про гетьмана І.</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Свірговського. Зберегли свою цінність дослідження І.</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Каманіна, Д.</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Багалія, І.</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Новицького та Є.</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Барвінського</w:t>
      </w:r>
      <w:r w:rsidR="006B59FD" w:rsidRPr="00B0699D">
        <w:rPr>
          <w:rFonts w:ascii="Times New Roman" w:hAnsi="Times New Roman"/>
          <w:noProof/>
          <w:color w:val="000000"/>
          <w:sz w:val="28"/>
          <w:lang w:val="uk-UA"/>
        </w:rPr>
        <w:t xml:space="preserve"> [13, 48]</w:t>
      </w:r>
      <w:r w:rsidRPr="00B0699D">
        <w:rPr>
          <w:rFonts w:ascii="Times New Roman" w:hAnsi="Times New Roman"/>
          <w:noProof/>
          <w:color w:val="000000"/>
          <w:sz w:val="28"/>
          <w:lang w:val="uk-UA"/>
        </w:rPr>
        <w:t>.</w:t>
      </w:r>
    </w:p>
    <w:p w:rsidR="00FA0EB0" w:rsidRPr="00B0699D" w:rsidRDefault="00FA0EB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Найгрунтовнішими і фактологічно найбільш наповненими й на сьогодні залишаються монографії М.</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Грушевського, Д.</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Яворницького</w:t>
      </w:r>
      <w:r w:rsidR="006B59FD" w:rsidRPr="00B0699D">
        <w:rPr>
          <w:rFonts w:ascii="Times New Roman" w:hAnsi="Times New Roman"/>
          <w:noProof/>
          <w:color w:val="000000"/>
          <w:sz w:val="28"/>
          <w:lang w:val="uk-UA"/>
        </w:rPr>
        <w:t xml:space="preserve"> [</w:t>
      </w:r>
      <w:r w:rsidR="00E100A5" w:rsidRPr="00B0699D">
        <w:rPr>
          <w:rFonts w:ascii="Times New Roman" w:hAnsi="Times New Roman"/>
          <w:noProof/>
          <w:color w:val="000000"/>
          <w:sz w:val="28"/>
          <w:lang w:val="uk-UA"/>
        </w:rPr>
        <w:t>8</w:t>
      </w:r>
      <w:r w:rsidR="006B59FD" w:rsidRPr="00B0699D">
        <w:rPr>
          <w:rFonts w:ascii="Times New Roman" w:hAnsi="Times New Roman"/>
          <w:noProof/>
          <w:color w:val="000000"/>
          <w:sz w:val="28"/>
          <w:lang w:val="uk-UA"/>
        </w:rPr>
        <w:t>], [</w:t>
      </w:r>
      <w:r w:rsidR="000A4F3D" w:rsidRPr="00B0699D">
        <w:rPr>
          <w:rFonts w:ascii="Times New Roman" w:hAnsi="Times New Roman"/>
          <w:noProof/>
          <w:color w:val="000000"/>
          <w:sz w:val="28"/>
          <w:lang w:val="uk-UA"/>
        </w:rPr>
        <w:t>30</w:t>
      </w:r>
      <w:r w:rsidR="006B59FD" w:rsidRPr="00B0699D">
        <w:rPr>
          <w:rFonts w:ascii="Times New Roman" w:hAnsi="Times New Roman"/>
          <w:noProof/>
          <w:color w:val="000000"/>
          <w:sz w:val="28"/>
          <w:lang w:val="uk-UA"/>
        </w:rPr>
        <w:t>]</w:t>
      </w:r>
      <w:r w:rsidRPr="00B0699D">
        <w:rPr>
          <w:rFonts w:ascii="Times New Roman" w:hAnsi="Times New Roman"/>
          <w:noProof/>
          <w:color w:val="000000"/>
          <w:sz w:val="28"/>
          <w:lang w:val="uk-UA"/>
        </w:rPr>
        <w:t>. Зокрема Д.</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Яворницький в «Історії запорозьких козаків» вперше широко використав описи поїздок на Січ магната С.</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Зборовського і австрійського посла Е.</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Лясоти, проаналізував на стосунки козаків з московським урядом</w:t>
      </w:r>
      <w:r w:rsidR="006B59FD" w:rsidRPr="00B0699D">
        <w:rPr>
          <w:rFonts w:ascii="Times New Roman" w:hAnsi="Times New Roman"/>
          <w:noProof/>
          <w:color w:val="000000"/>
          <w:sz w:val="28"/>
          <w:lang w:val="uk-UA"/>
        </w:rPr>
        <w:t xml:space="preserve"> [</w:t>
      </w:r>
      <w:r w:rsidR="000A4F3D" w:rsidRPr="00B0699D">
        <w:rPr>
          <w:rFonts w:ascii="Times New Roman" w:hAnsi="Times New Roman"/>
          <w:noProof/>
          <w:color w:val="000000"/>
          <w:sz w:val="28"/>
          <w:lang w:val="uk-UA"/>
        </w:rPr>
        <w:t>30</w:t>
      </w:r>
      <w:r w:rsidR="006B59FD" w:rsidRPr="00B0699D">
        <w:rPr>
          <w:rFonts w:ascii="Times New Roman" w:hAnsi="Times New Roman"/>
          <w:noProof/>
          <w:color w:val="000000"/>
          <w:sz w:val="28"/>
          <w:lang w:val="uk-UA"/>
        </w:rPr>
        <w:t xml:space="preserve">, </w:t>
      </w:r>
      <w:r w:rsidR="00E100A5" w:rsidRPr="00B0699D">
        <w:rPr>
          <w:rFonts w:ascii="Times New Roman" w:hAnsi="Times New Roman"/>
          <w:noProof/>
          <w:color w:val="000000"/>
          <w:sz w:val="28"/>
          <w:lang w:val="uk-UA"/>
        </w:rPr>
        <w:t>176</w:t>
      </w:r>
      <w:r w:rsidR="006B59FD"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w:t>
      </w:r>
    </w:p>
    <w:p w:rsidR="00FA0EB0" w:rsidRPr="00B0699D" w:rsidRDefault="00FA0EB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Вивчення історії українського козацтва продовжували радянські вчені К.</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Гуслистий і В.</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Голобуцький</w:t>
      </w:r>
      <w:r w:rsidR="00E100A5" w:rsidRPr="00B0699D">
        <w:rPr>
          <w:rFonts w:ascii="Times New Roman" w:hAnsi="Times New Roman"/>
          <w:noProof/>
          <w:color w:val="000000"/>
          <w:sz w:val="28"/>
          <w:lang w:val="uk-UA"/>
        </w:rPr>
        <w:t xml:space="preserve"> [13, 49], [4]</w:t>
      </w:r>
      <w:r w:rsidRPr="00B0699D">
        <w:rPr>
          <w:rFonts w:ascii="Times New Roman" w:hAnsi="Times New Roman"/>
          <w:noProof/>
          <w:color w:val="000000"/>
          <w:sz w:val="28"/>
          <w:lang w:val="uk-UA"/>
        </w:rPr>
        <w:t>. Однак лише з середини 80-х рр. ХХ ст. починають з’являтися праці, в яких знайшли об’єктивне відображення окремі аспекти ґенези козацтва. Зокрема, окремою верствою «військового прикордонного населення» вважає козацтво Я.</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Дашкевич, виводячи його появу з геополітичного становища України</w:t>
      </w:r>
      <w:r w:rsidR="00E100A5" w:rsidRPr="00B0699D">
        <w:rPr>
          <w:rFonts w:ascii="Times New Roman" w:hAnsi="Times New Roman"/>
          <w:noProof/>
          <w:color w:val="000000"/>
          <w:sz w:val="28"/>
          <w:lang w:val="uk-UA"/>
        </w:rPr>
        <w:t xml:space="preserve"> [13, 49]</w:t>
      </w:r>
      <w:r w:rsidRPr="00B0699D">
        <w:rPr>
          <w:rFonts w:ascii="Times New Roman" w:hAnsi="Times New Roman"/>
          <w:noProof/>
          <w:color w:val="000000"/>
          <w:sz w:val="28"/>
          <w:lang w:val="uk-UA"/>
        </w:rPr>
        <w:t>. Зазначається, що</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в середині XVII ст козацтво</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перебирає на себе функції привілейованого суспільного стану.</w:t>
      </w:r>
    </w:p>
    <w:p w:rsidR="00FA0EB0" w:rsidRPr="00B0699D" w:rsidRDefault="00FA0EB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В цілому негативне ставлення до козацтва простежується в російській історіографії. Так, видатний історик С.М.Соловйов пояснював причини його появи відходництвом людей через різні обставини на південне прикордоння у пошуках легкої здобичі</w:t>
      </w:r>
      <w:r w:rsidR="00E100A5" w:rsidRPr="00B0699D">
        <w:rPr>
          <w:rFonts w:ascii="Times New Roman" w:hAnsi="Times New Roman"/>
          <w:noProof/>
          <w:color w:val="000000"/>
          <w:sz w:val="28"/>
          <w:lang w:val="uk-UA"/>
        </w:rPr>
        <w:t xml:space="preserve"> [13, 49]</w:t>
      </w:r>
      <w:r w:rsidRPr="00B0699D">
        <w:rPr>
          <w:rFonts w:ascii="Times New Roman" w:hAnsi="Times New Roman"/>
          <w:noProof/>
          <w:color w:val="000000"/>
          <w:sz w:val="28"/>
          <w:lang w:val="uk-UA"/>
        </w:rPr>
        <w:t>. Українське козацтво до середини ХУІІ ст. він оцінював як антидержавний руйнівний елемент.</w:t>
      </w:r>
    </w:p>
    <w:p w:rsidR="00FA0EB0" w:rsidRPr="00B0699D" w:rsidRDefault="00FA0EB0" w:rsidP="00474E8E">
      <w:pPr>
        <w:spacing w:after="0" w:line="360" w:lineRule="auto"/>
        <w:ind w:firstLine="709"/>
        <w:jc w:val="both"/>
        <w:rPr>
          <w:rFonts w:ascii="Times New Roman" w:hAnsi="Times New Roman"/>
          <w:noProof/>
          <w:color w:val="000000"/>
          <w:sz w:val="28"/>
          <w:lang w:val="uk-UA"/>
        </w:rPr>
      </w:pPr>
    </w:p>
    <w:p w:rsidR="00434E1F" w:rsidRPr="00B0699D" w:rsidRDefault="00474E8E" w:rsidP="00474E8E">
      <w:pPr>
        <w:spacing w:after="0" w:line="360" w:lineRule="auto"/>
        <w:ind w:firstLine="709"/>
        <w:jc w:val="both"/>
        <w:rPr>
          <w:rFonts w:ascii="Times New Roman" w:hAnsi="Times New Roman"/>
          <w:noProof/>
          <w:color w:val="000000"/>
          <w:sz w:val="28"/>
          <w:lang w:val="uk-UA"/>
        </w:rPr>
      </w:pPr>
      <w:bookmarkStart w:id="3" w:name="_Toc228346837"/>
      <w:r w:rsidRPr="00B0699D">
        <w:rPr>
          <w:rFonts w:ascii="Times New Roman" w:hAnsi="Times New Roman"/>
          <w:noProof/>
          <w:color w:val="000000"/>
          <w:sz w:val="28"/>
          <w:lang w:val="uk-UA"/>
        </w:rPr>
        <w:t xml:space="preserve">1.2 </w:t>
      </w:r>
      <w:r w:rsidR="00434E1F" w:rsidRPr="00B0699D">
        <w:rPr>
          <w:rFonts w:ascii="Times New Roman" w:hAnsi="Times New Roman"/>
          <w:noProof/>
          <w:color w:val="000000"/>
          <w:sz w:val="28"/>
          <w:lang w:val="uk-UA"/>
        </w:rPr>
        <w:t>Характеристика інституту гетьманства, як уособлення верховної влади</w:t>
      </w:r>
      <w:bookmarkEnd w:id="3"/>
    </w:p>
    <w:p w:rsidR="00474E8E" w:rsidRPr="00B0699D" w:rsidRDefault="00474E8E" w:rsidP="00474E8E">
      <w:pPr>
        <w:spacing w:after="0" w:line="360" w:lineRule="auto"/>
        <w:ind w:firstLine="709"/>
        <w:jc w:val="both"/>
        <w:rPr>
          <w:rFonts w:ascii="Times New Roman" w:hAnsi="Times New Roman"/>
          <w:noProof/>
          <w:color w:val="000000"/>
          <w:sz w:val="28"/>
          <w:lang w:val="uk-UA"/>
        </w:rPr>
      </w:pPr>
    </w:p>
    <w:p w:rsidR="00DA79C2" w:rsidRPr="00B0699D" w:rsidRDefault="00434E1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Г</w:t>
      </w:r>
      <w:r w:rsidR="00DA79C2" w:rsidRPr="00B0699D">
        <w:rPr>
          <w:rFonts w:ascii="Times New Roman" w:hAnsi="Times New Roman"/>
          <w:noProof/>
          <w:color w:val="000000"/>
          <w:sz w:val="28"/>
          <w:lang w:val="uk-UA"/>
        </w:rPr>
        <w:t>етьманство є самобутня національна форма організації вищої</w:t>
      </w:r>
      <w:r w:rsidRPr="00B0699D">
        <w:rPr>
          <w:rFonts w:ascii="Times New Roman" w:hAnsi="Times New Roman"/>
          <w:noProof/>
          <w:color w:val="000000"/>
          <w:sz w:val="28"/>
          <w:lang w:val="uk-UA"/>
        </w:rPr>
        <w:t xml:space="preserve"> </w:t>
      </w:r>
      <w:r w:rsidR="00DA79C2" w:rsidRPr="00B0699D">
        <w:rPr>
          <w:rFonts w:ascii="Times New Roman" w:hAnsi="Times New Roman"/>
          <w:noProof/>
          <w:color w:val="000000"/>
          <w:sz w:val="28"/>
          <w:lang w:val="uk-UA"/>
        </w:rPr>
        <w:t>влади в Україні в умовах її самоврядування (автономії) у складі Польщі та</w:t>
      </w:r>
      <w:r w:rsidRPr="00B0699D">
        <w:rPr>
          <w:rFonts w:ascii="Times New Roman" w:hAnsi="Times New Roman"/>
          <w:noProof/>
          <w:color w:val="000000"/>
          <w:sz w:val="28"/>
          <w:lang w:val="uk-UA"/>
        </w:rPr>
        <w:t xml:space="preserve"> </w:t>
      </w:r>
      <w:r w:rsidR="00DA79C2" w:rsidRPr="00B0699D">
        <w:rPr>
          <w:rFonts w:ascii="Times New Roman" w:hAnsi="Times New Roman"/>
          <w:noProof/>
          <w:color w:val="000000"/>
          <w:sz w:val="28"/>
          <w:lang w:val="uk-UA"/>
        </w:rPr>
        <w:t xml:space="preserve">Російської імперії (ХVІ - ХVІІІ ст.). Термін </w:t>
      </w:r>
      <w:r w:rsidRPr="00B0699D">
        <w:rPr>
          <w:rFonts w:ascii="Times New Roman" w:hAnsi="Times New Roman"/>
          <w:noProof/>
          <w:color w:val="000000"/>
          <w:sz w:val="28"/>
          <w:lang w:val="uk-UA"/>
        </w:rPr>
        <w:t>«</w:t>
      </w:r>
      <w:r w:rsidR="00DA79C2" w:rsidRPr="00B0699D">
        <w:rPr>
          <w:rFonts w:ascii="Times New Roman" w:hAnsi="Times New Roman"/>
          <w:noProof/>
          <w:color w:val="000000"/>
          <w:sz w:val="28"/>
          <w:lang w:val="uk-UA"/>
        </w:rPr>
        <w:t>гетьман</w:t>
      </w:r>
      <w:r w:rsidRPr="00B0699D">
        <w:rPr>
          <w:rFonts w:ascii="Times New Roman" w:hAnsi="Times New Roman"/>
          <w:noProof/>
          <w:color w:val="000000"/>
          <w:sz w:val="28"/>
          <w:lang w:val="uk-UA"/>
        </w:rPr>
        <w:t>»</w:t>
      </w:r>
      <w:r w:rsidR="00DA79C2" w:rsidRPr="00B0699D">
        <w:rPr>
          <w:rFonts w:ascii="Times New Roman" w:hAnsi="Times New Roman"/>
          <w:noProof/>
          <w:color w:val="000000"/>
          <w:sz w:val="28"/>
          <w:lang w:val="uk-UA"/>
        </w:rPr>
        <w:t xml:space="preserve"> широко вживався,</w:t>
      </w:r>
      <w:r w:rsidRPr="00B0699D">
        <w:rPr>
          <w:rFonts w:ascii="Times New Roman" w:hAnsi="Times New Roman"/>
          <w:noProof/>
          <w:color w:val="000000"/>
          <w:sz w:val="28"/>
          <w:lang w:val="uk-UA"/>
        </w:rPr>
        <w:t xml:space="preserve"> </w:t>
      </w:r>
      <w:r w:rsidR="00DA79C2" w:rsidRPr="00B0699D">
        <w:rPr>
          <w:rFonts w:ascii="Times New Roman" w:hAnsi="Times New Roman"/>
          <w:noProof/>
          <w:color w:val="000000"/>
          <w:sz w:val="28"/>
          <w:lang w:val="uk-UA"/>
        </w:rPr>
        <w:t xml:space="preserve">починаючи з ХV </w:t>
      </w:r>
      <w:r w:rsidR="00E100A5" w:rsidRPr="00B0699D">
        <w:rPr>
          <w:rFonts w:ascii="Times New Roman" w:hAnsi="Times New Roman"/>
          <w:noProof/>
          <w:color w:val="000000"/>
          <w:sz w:val="28"/>
          <w:lang w:val="uk-UA"/>
        </w:rPr>
        <w:t>–</w:t>
      </w:r>
      <w:r w:rsidR="00DA79C2" w:rsidRPr="00B0699D">
        <w:rPr>
          <w:rFonts w:ascii="Times New Roman" w:hAnsi="Times New Roman"/>
          <w:noProof/>
          <w:color w:val="000000"/>
          <w:sz w:val="28"/>
          <w:lang w:val="uk-UA"/>
        </w:rPr>
        <w:t xml:space="preserve"> ХVІ ст., у багатьох європейських мовах і позначав</w:t>
      </w:r>
      <w:r w:rsidRPr="00B0699D">
        <w:rPr>
          <w:rFonts w:ascii="Times New Roman" w:hAnsi="Times New Roman"/>
          <w:noProof/>
          <w:color w:val="000000"/>
          <w:sz w:val="28"/>
          <w:lang w:val="uk-UA"/>
        </w:rPr>
        <w:t xml:space="preserve"> </w:t>
      </w:r>
      <w:r w:rsidR="00DA79C2" w:rsidRPr="00B0699D">
        <w:rPr>
          <w:rFonts w:ascii="Times New Roman" w:hAnsi="Times New Roman"/>
          <w:noProof/>
          <w:color w:val="000000"/>
          <w:sz w:val="28"/>
          <w:lang w:val="uk-UA"/>
        </w:rPr>
        <w:t xml:space="preserve">керівників військового рівня. В Україні </w:t>
      </w:r>
      <w:r w:rsidRPr="00B0699D">
        <w:rPr>
          <w:rFonts w:ascii="Times New Roman" w:hAnsi="Times New Roman"/>
          <w:noProof/>
          <w:color w:val="000000"/>
          <w:sz w:val="28"/>
          <w:lang w:val="uk-UA"/>
        </w:rPr>
        <w:t>«</w:t>
      </w:r>
      <w:r w:rsidR="00DA79C2" w:rsidRPr="00B0699D">
        <w:rPr>
          <w:rFonts w:ascii="Times New Roman" w:hAnsi="Times New Roman"/>
          <w:noProof/>
          <w:color w:val="000000"/>
          <w:sz w:val="28"/>
          <w:lang w:val="uk-UA"/>
        </w:rPr>
        <w:t>гетьманами</w:t>
      </w:r>
      <w:r w:rsidRPr="00B0699D">
        <w:rPr>
          <w:rFonts w:ascii="Times New Roman" w:hAnsi="Times New Roman"/>
          <w:noProof/>
          <w:color w:val="000000"/>
          <w:sz w:val="28"/>
          <w:lang w:val="uk-UA"/>
        </w:rPr>
        <w:t>»</w:t>
      </w:r>
      <w:r w:rsidR="00DA79C2" w:rsidRPr="00B0699D">
        <w:rPr>
          <w:rFonts w:ascii="Times New Roman" w:hAnsi="Times New Roman"/>
          <w:noProof/>
          <w:color w:val="000000"/>
          <w:sz w:val="28"/>
          <w:lang w:val="uk-UA"/>
        </w:rPr>
        <w:t xml:space="preserve"> називали</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д</w:t>
      </w:r>
      <w:r w:rsidR="00DA79C2" w:rsidRPr="00B0699D">
        <w:rPr>
          <w:rFonts w:ascii="Times New Roman" w:hAnsi="Times New Roman"/>
          <w:noProof/>
          <w:color w:val="000000"/>
          <w:sz w:val="28"/>
          <w:lang w:val="uk-UA"/>
        </w:rPr>
        <w:t>емократично</w:t>
      </w:r>
      <w:r w:rsidRPr="00B0699D">
        <w:rPr>
          <w:rFonts w:ascii="Times New Roman" w:hAnsi="Times New Roman"/>
          <w:noProof/>
          <w:color w:val="000000"/>
          <w:sz w:val="28"/>
          <w:lang w:val="uk-UA"/>
        </w:rPr>
        <w:t xml:space="preserve"> </w:t>
      </w:r>
      <w:r w:rsidR="00DA79C2" w:rsidRPr="00B0699D">
        <w:rPr>
          <w:rFonts w:ascii="Times New Roman" w:hAnsi="Times New Roman"/>
          <w:noProof/>
          <w:color w:val="000000"/>
          <w:sz w:val="28"/>
          <w:lang w:val="uk-UA"/>
        </w:rPr>
        <w:t>обраних народних ватажків козацького війська. У ХVІ ст. прославився серед</w:t>
      </w:r>
      <w:r w:rsidRPr="00B0699D">
        <w:rPr>
          <w:rFonts w:ascii="Times New Roman" w:hAnsi="Times New Roman"/>
          <w:noProof/>
          <w:color w:val="000000"/>
          <w:sz w:val="28"/>
          <w:lang w:val="uk-UA"/>
        </w:rPr>
        <w:t xml:space="preserve"> </w:t>
      </w:r>
      <w:r w:rsidR="00DA79C2" w:rsidRPr="00B0699D">
        <w:rPr>
          <w:rFonts w:ascii="Times New Roman" w:hAnsi="Times New Roman"/>
          <w:noProof/>
          <w:color w:val="000000"/>
          <w:sz w:val="28"/>
          <w:lang w:val="uk-UA"/>
        </w:rPr>
        <w:t>населення і козаків неспольщений православний князь Дмитро Вишневецький, знаний в народі як Байда. Він організував козаків, побудувавши за Дніпровими</w:t>
      </w:r>
      <w:r w:rsidRPr="00B0699D">
        <w:rPr>
          <w:rFonts w:ascii="Times New Roman" w:hAnsi="Times New Roman"/>
          <w:noProof/>
          <w:color w:val="000000"/>
          <w:sz w:val="28"/>
          <w:lang w:val="uk-UA"/>
        </w:rPr>
        <w:t xml:space="preserve"> </w:t>
      </w:r>
      <w:r w:rsidR="00DA79C2" w:rsidRPr="00B0699D">
        <w:rPr>
          <w:rFonts w:ascii="Times New Roman" w:hAnsi="Times New Roman"/>
          <w:noProof/>
          <w:color w:val="000000"/>
          <w:sz w:val="28"/>
          <w:lang w:val="uk-UA"/>
        </w:rPr>
        <w:t>порогами на острові мала Хортиця 1553-1554 рр. укріплений табір, названий</w:t>
      </w:r>
      <w:r w:rsidRPr="00B0699D">
        <w:rPr>
          <w:rFonts w:ascii="Times New Roman" w:hAnsi="Times New Roman"/>
          <w:noProof/>
          <w:color w:val="000000"/>
          <w:sz w:val="28"/>
          <w:lang w:val="uk-UA"/>
        </w:rPr>
        <w:t xml:space="preserve"> </w:t>
      </w:r>
      <w:r w:rsidR="00DA79C2" w:rsidRPr="00B0699D">
        <w:rPr>
          <w:rFonts w:ascii="Times New Roman" w:hAnsi="Times New Roman"/>
          <w:noProof/>
          <w:color w:val="000000"/>
          <w:sz w:val="28"/>
          <w:lang w:val="uk-UA"/>
        </w:rPr>
        <w:t>Запорізькою Січчю</w:t>
      </w:r>
      <w:r w:rsidR="00E100A5" w:rsidRPr="00B0699D">
        <w:rPr>
          <w:rFonts w:ascii="Times New Roman" w:hAnsi="Times New Roman"/>
          <w:noProof/>
          <w:color w:val="000000"/>
          <w:sz w:val="28"/>
          <w:lang w:val="uk-UA"/>
        </w:rPr>
        <w:t xml:space="preserve"> [3, 38]</w:t>
      </w:r>
      <w:r w:rsidR="00DA79C2" w:rsidRPr="00B0699D">
        <w:rPr>
          <w:rFonts w:ascii="Times New Roman" w:hAnsi="Times New Roman"/>
          <w:noProof/>
          <w:color w:val="000000"/>
          <w:sz w:val="28"/>
          <w:lang w:val="uk-UA"/>
        </w:rPr>
        <w:t>.</w:t>
      </w:r>
    </w:p>
    <w:p w:rsidR="00DA79C2" w:rsidRPr="00B0699D" w:rsidRDefault="00DA79C2"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У Запорізьких козаків гетьман є найвища посадова особа. Хто його</w:t>
      </w:r>
      <w:r w:rsidR="00434E1F"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вибирає чи призначає? На це питання читкою інформації немає через те, що</w:t>
      </w:r>
      <w:r w:rsidR="00434E1F"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запорожцям бракувало політичної культури. У правовому устрої закон</w:t>
      </w:r>
      <w:r w:rsidR="00434E1F"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визначає, кому належить верховна влада. Що ж стосується запорожців, то </w:t>
      </w:r>
      <w:r w:rsidR="00434E1F" w:rsidRPr="00B0699D">
        <w:rPr>
          <w:rFonts w:ascii="Times New Roman" w:hAnsi="Times New Roman"/>
          <w:noProof/>
          <w:color w:val="000000"/>
          <w:sz w:val="28"/>
          <w:lang w:val="uk-UA"/>
        </w:rPr>
        <w:t xml:space="preserve">у </w:t>
      </w:r>
      <w:r w:rsidRPr="00B0699D">
        <w:rPr>
          <w:rFonts w:ascii="Times New Roman" w:hAnsi="Times New Roman"/>
          <w:noProof/>
          <w:color w:val="000000"/>
          <w:sz w:val="28"/>
          <w:lang w:val="uk-UA"/>
        </w:rPr>
        <w:t>них це не було всебічно обґрунтовано. В одному випадку вона належала до</w:t>
      </w:r>
      <w:r w:rsidR="00434E1F"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козацького війська, в іншому </w:t>
      </w:r>
      <w:r w:rsidR="00434E1F"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належала гетьману. Однак у них не було жодної</w:t>
      </w:r>
      <w:r w:rsidR="00434E1F"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інституції, де б це було чітко зафіксовано і яка б регулювала цей процес.</w:t>
      </w:r>
      <w:r w:rsidR="00434E1F" w:rsidRPr="00B0699D">
        <w:rPr>
          <w:rFonts w:ascii="Times New Roman" w:hAnsi="Times New Roman"/>
          <w:noProof/>
          <w:color w:val="000000"/>
          <w:sz w:val="28"/>
          <w:lang w:val="uk-UA"/>
        </w:rPr>
        <w:t xml:space="preserve"> </w:t>
      </w:r>
    </w:p>
    <w:p w:rsidR="00BC6668" w:rsidRPr="00B0699D" w:rsidRDefault="00BC6668"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Усю повноту виконавчої влади в Українській козацькій державі зосереджував у своїх руках виборний гетьман. Він же володів і правом законодавчої ініціативи, яке, щоправда, обмежувалося діяльністю Генеральної та старшинської рад. </w:t>
      </w:r>
    </w:p>
    <w:p w:rsidR="00BC6668" w:rsidRPr="00B0699D" w:rsidRDefault="000F2BD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Влада</w:t>
      </w:r>
      <w:r w:rsidR="00BC6668" w:rsidRPr="00B0699D">
        <w:rPr>
          <w:rFonts w:ascii="Times New Roman" w:hAnsi="Times New Roman"/>
          <w:noProof/>
          <w:color w:val="000000"/>
          <w:sz w:val="28"/>
          <w:lang w:val="uk-UA"/>
        </w:rPr>
        <w:t xml:space="preserve"> гетьмана була виборною і формально пожиттєвою. Але, як засвідчив приклад гетьманів І.Виговського, Д.Многогрішного чи І.Самойловича, фактично гетьманська </w:t>
      </w:r>
      <w:r w:rsidRPr="00B0699D">
        <w:rPr>
          <w:rFonts w:ascii="Times New Roman" w:hAnsi="Times New Roman"/>
          <w:noProof/>
          <w:color w:val="000000"/>
          <w:sz w:val="28"/>
          <w:lang w:val="uk-UA"/>
        </w:rPr>
        <w:t>влада</w:t>
      </w:r>
      <w:r w:rsidR="00BC6668" w:rsidRPr="00B0699D">
        <w:rPr>
          <w:rFonts w:ascii="Times New Roman" w:hAnsi="Times New Roman"/>
          <w:noProof/>
          <w:color w:val="000000"/>
          <w:sz w:val="28"/>
          <w:lang w:val="uk-UA"/>
        </w:rPr>
        <w:t xml:space="preserve"> здійснювалася </w:t>
      </w:r>
      <w:r w:rsidRPr="00B0699D">
        <w:rPr>
          <w:rFonts w:ascii="Times New Roman" w:hAnsi="Times New Roman"/>
          <w:noProof/>
          <w:color w:val="000000"/>
          <w:sz w:val="28"/>
          <w:lang w:val="uk-UA"/>
        </w:rPr>
        <w:t>«</w:t>
      </w:r>
      <w:r w:rsidR="00BC6668" w:rsidRPr="00B0699D">
        <w:rPr>
          <w:rFonts w:ascii="Times New Roman" w:hAnsi="Times New Roman"/>
          <w:noProof/>
          <w:color w:val="000000"/>
          <w:sz w:val="28"/>
          <w:lang w:val="uk-UA"/>
        </w:rPr>
        <w:t>до ласки войсковой</w:t>
      </w:r>
      <w:r w:rsidRPr="00B0699D">
        <w:rPr>
          <w:rFonts w:ascii="Times New Roman" w:hAnsi="Times New Roman"/>
          <w:noProof/>
          <w:color w:val="000000"/>
          <w:sz w:val="28"/>
          <w:lang w:val="uk-UA"/>
        </w:rPr>
        <w:t>»</w:t>
      </w:r>
      <w:r w:rsidR="00BC6668" w:rsidRPr="00B0699D">
        <w:rPr>
          <w:rFonts w:ascii="Times New Roman" w:hAnsi="Times New Roman"/>
          <w:noProof/>
          <w:color w:val="000000"/>
          <w:sz w:val="28"/>
          <w:lang w:val="uk-UA"/>
        </w:rPr>
        <w:t xml:space="preserve">, і в разі виникнення певних обставин Генеральна рада могла позбавити гетьмана </w:t>
      </w:r>
      <w:r w:rsidRPr="00B0699D">
        <w:rPr>
          <w:rFonts w:ascii="Times New Roman" w:hAnsi="Times New Roman"/>
          <w:noProof/>
          <w:color w:val="000000"/>
          <w:sz w:val="28"/>
          <w:lang w:val="uk-UA"/>
        </w:rPr>
        <w:t>влади</w:t>
      </w:r>
      <w:r w:rsidR="00E100A5" w:rsidRPr="00B0699D">
        <w:rPr>
          <w:rFonts w:ascii="Times New Roman" w:hAnsi="Times New Roman"/>
          <w:noProof/>
          <w:color w:val="000000"/>
          <w:sz w:val="28"/>
          <w:lang w:val="uk-UA"/>
        </w:rPr>
        <w:t xml:space="preserve"> [3, 42]</w:t>
      </w:r>
      <w:r w:rsidR="00BC6668" w:rsidRPr="00B0699D">
        <w:rPr>
          <w:rFonts w:ascii="Times New Roman" w:hAnsi="Times New Roman"/>
          <w:noProof/>
          <w:color w:val="000000"/>
          <w:sz w:val="28"/>
          <w:lang w:val="uk-UA"/>
        </w:rPr>
        <w:t xml:space="preserve">. </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Виборний гетьман зосереджував у своїх руках надзвичайно широке коло владних повноважень: скликав Загальну раду і раду старшини, керував ними, брав участь в обговоренні питань й ухваленні рішень ради, організовував їх виконання, очолюючи адміністрацію. За підписом гетьмана виходили найважливіші розпорядження і накази-універсали; він також очолював судочинство як вища апеляційна інстанція; організовував і керував фінансами; визначав напрями зовнішньополітичної діяльності країни; стояв на чолі війська. Загалом же гетьман як верховний правитель підпорядковував собі усі суспільні стани та групи козацької України, користуючись правом уставодавства, вищої адміністративної та судової влади: для козацтва</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w:t>
      </w:r>
      <w:r w:rsidR="002E2E83"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в ролі безпосереднього глави, для решти станів – як верховний арбітр.</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У своїй основі влада гетьмана була обмеженою. На цю посаду Генеральна рада обирала формально пожиттєво, оскільки «Березневі статті» Богдана Хмельницького 1654 р. та наступні українсько-російські договори другої половини XVII ст. фіксували положення, за яким перевибори передбачалися лише у випадку смерті володаря гетьманської булави. Але фактично, як засвідчила доля І. Виговського, І. Брюховецького, Д. Многогрішного та інших позбавлених гетьманства рішенням Генеральної ради чи внаслідок заколоту правителів, вибори здійснювалися «до ласки войсковой»</w:t>
      </w:r>
      <w:r w:rsidR="00E100A5" w:rsidRPr="00B0699D">
        <w:rPr>
          <w:rFonts w:ascii="Times New Roman" w:hAnsi="Times New Roman"/>
          <w:noProof/>
          <w:color w:val="000000"/>
          <w:sz w:val="28"/>
          <w:lang w:val="uk-UA"/>
        </w:rPr>
        <w:t xml:space="preserve"> [5, 26]</w:t>
      </w:r>
      <w:r w:rsidRPr="00B0699D">
        <w:rPr>
          <w:rFonts w:ascii="Times New Roman" w:hAnsi="Times New Roman"/>
          <w:noProof/>
          <w:color w:val="000000"/>
          <w:sz w:val="28"/>
          <w:lang w:val="uk-UA"/>
        </w:rPr>
        <w:t xml:space="preserve">. </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Історичні джерела містять чимало переконливої інформації про те, що влада гетьмана Б. Хмельницького із середини 1650-х рр. наближалася до необмеженої, еволюціонуючи в бік монархічної форми правління. Як зарубіжні спостерігачі, так і мешканці України бачили в особі Хмельницького «їх країни начальника» і володаря» [</w:t>
      </w:r>
      <w:r w:rsidR="00E100A5" w:rsidRPr="00B0699D">
        <w:rPr>
          <w:rFonts w:ascii="Times New Roman" w:hAnsi="Times New Roman"/>
          <w:noProof/>
          <w:color w:val="000000"/>
          <w:sz w:val="28"/>
          <w:lang w:val="uk-UA"/>
        </w:rPr>
        <w:t xml:space="preserve">14, </w:t>
      </w:r>
      <w:r w:rsidR="00736086" w:rsidRPr="00B0699D">
        <w:rPr>
          <w:rFonts w:ascii="Times New Roman" w:hAnsi="Times New Roman"/>
          <w:noProof/>
          <w:color w:val="000000"/>
          <w:sz w:val="28"/>
          <w:lang w:val="uk-UA"/>
        </w:rPr>
        <w:t>295</w:t>
      </w:r>
      <w:r w:rsidRPr="00B0699D">
        <w:rPr>
          <w:rFonts w:ascii="Times New Roman" w:hAnsi="Times New Roman"/>
          <w:noProof/>
          <w:color w:val="000000"/>
          <w:sz w:val="28"/>
          <w:lang w:val="uk-UA"/>
        </w:rPr>
        <w:t>]. Становлення авторитарної форми правління призводить до того, що Хмельницький «володіє всім один, що накаже, то всім військом і роблять» [</w:t>
      </w:r>
      <w:r w:rsidR="00736086" w:rsidRPr="00B0699D">
        <w:rPr>
          <w:rFonts w:ascii="Times New Roman" w:hAnsi="Times New Roman"/>
          <w:noProof/>
          <w:color w:val="000000"/>
          <w:sz w:val="28"/>
          <w:lang w:val="uk-UA"/>
        </w:rPr>
        <w:t>14, 295</w:t>
      </w:r>
      <w:r w:rsidRPr="00B0699D">
        <w:rPr>
          <w:rFonts w:ascii="Times New Roman" w:hAnsi="Times New Roman"/>
          <w:noProof/>
          <w:color w:val="000000"/>
          <w:sz w:val="28"/>
          <w:lang w:val="uk-UA"/>
        </w:rPr>
        <w:t>]. Йдеться вже не лише про ігнорування інституту Загальних рад, а й думки старшин, котрі «гетьманові вимовити не можуть» про своє ставлення до тих чи інших процесів державного життя [</w:t>
      </w:r>
      <w:r w:rsidR="00736086" w:rsidRPr="00B0699D">
        <w:rPr>
          <w:rFonts w:ascii="Times New Roman" w:hAnsi="Times New Roman"/>
          <w:noProof/>
          <w:color w:val="000000"/>
          <w:sz w:val="28"/>
          <w:lang w:val="uk-UA"/>
        </w:rPr>
        <w:t>14, 295</w:t>
      </w:r>
      <w:r w:rsidRPr="00B0699D">
        <w:rPr>
          <w:rFonts w:ascii="Times New Roman" w:hAnsi="Times New Roman"/>
          <w:noProof/>
          <w:color w:val="000000"/>
          <w:sz w:val="28"/>
          <w:lang w:val="uk-UA"/>
        </w:rPr>
        <w:t>].</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Одна з найважливіших прерогатив ради – обрання старшини – відтепер повністю зосереджується в руках гетьмана, котрий призначає своєю волею не лише полковників, а й сотників. Він же володіє правом на життя і смерть будь-якого мешканця держави, незалежно від посади, у тому числі представників генеральної старшини, якщо хто-небудь з них дозволив собі проігнорувати його розпорядження чи заперечити щодо впроваджуваного ним політичного курсу.</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Після смерті Б. Хмельницького його наступник І. Виговський, щоб залучити на свій бік вищу козацьку старшину, невдоволену тим, що гетьман «володів усім один, що накаже, то всім військом і роблять», на Корсунській генеральній раді 1657 р. запевнював її, що «без вашої військової ради жодних справ не буду робити» [</w:t>
      </w:r>
      <w:r w:rsidR="00736086" w:rsidRPr="00B0699D">
        <w:rPr>
          <w:rFonts w:ascii="Times New Roman" w:hAnsi="Times New Roman"/>
          <w:noProof/>
          <w:color w:val="000000"/>
          <w:sz w:val="28"/>
          <w:lang w:val="uk-UA"/>
        </w:rPr>
        <w:t>14, 295</w:t>
      </w:r>
      <w:r w:rsidRPr="00B0699D">
        <w:rPr>
          <w:rFonts w:ascii="Times New Roman" w:hAnsi="Times New Roman"/>
          <w:noProof/>
          <w:color w:val="000000"/>
          <w:sz w:val="28"/>
          <w:lang w:val="uk-UA"/>
        </w:rPr>
        <w:t>]. Однак, як слушно зазначають політологи, в часи суспільних макрореформувань, загострень суперечностей між різними верствами й громадянськими силами внаслідок зламу традиційних соціальних структур, як правило, в суспільстві формується потреба в лідері харизматичного типу, уособленні всієї влади в одній керівній особі – як засобі толерантного співіснування розшарованих верств і спільнот [</w:t>
      </w:r>
      <w:r w:rsidR="00736086" w:rsidRPr="00B0699D">
        <w:rPr>
          <w:rFonts w:ascii="Times New Roman" w:hAnsi="Times New Roman"/>
          <w:noProof/>
          <w:color w:val="000000"/>
          <w:sz w:val="28"/>
          <w:lang w:val="uk-UA"/>
        </w:rPr>
        <w:t>13, 50</w:t>
      </w:r>
      <w:r w:rsidRPr="00B0699D">
        <w:rPr>
          <w:rFonts w:ascii="Times New Roman" w:hAnsi="Times New Roman"/>
          <w:noProof/>
          <w:color w:val="000000"/>
          <w:sz w:val="28"/>
          <w:lang w:val="uk-UA"/>
        </w:rPr>
        <w:t>]. Реагуючи на суспільні тенденції, І. Виговський уже навесні 1659 р., відправляючи послів на Варшавський сейм, що мав ратифікувати Гадяцьку угоду 1658 р., доручив їм домагатися, аби після його смерті один з братів – Данило – без жодних виборів</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успадкував Велике Гетьманство і Київське воєводство», а другий брат – Костянтин – «успадкував би пільне гетьманство», щоб у такий спосіб «на Україні не доходило до вибуху заворушень...» [</w:t>
      </w:r>
      <w:r w:rsidR="00736086" w:rsidRPr="00B0699D">
        <w:rPr>
          <w:rFonts w:ascii="Times New Roman" w:hAnsi="Times New Roman"/>
          <w:noProof/>
          <w:color w:val="000000"/>
          <w:sz w:val="28"/>
          <w:lang w:val="uk-UA"/>
        </w:rPr>
        <w:t>14, 296</w:t>
      </w:r>
      <w:r w:rsidRPr="00B0699D">
        <w:rPr>
          <w:rFonts w:ascii="Times New Roman" w:hAnsi="Times New Roman"/>
          <w:noProof/>
          <w:color w:val="000000"/>
          <w:sz w:val="28"/>
          <w:lang w:val="uk-UA"/>
        </w:rPr>
        <w:t>].</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У пізніші часи авторитарні тенденції й прагнення до трансформації виборної гетьманської влади в спадкову монархічну виразно відбилися в політиці Д. Многогрішного, І. Самойловича та І. Мазепи, кожний з яких намагався зосередити у своїх руках якомога ширше коло владних прерогатив та ще за життя визначити свого наступника. Навіть гетьман П. Дорошенко, котрого дослідники називають найпослідовнішим традиціоналістом, що свято дотримувався давніх козацьких звичаїв та порядків, за інформацією джерел, не лише прагнув «довічного гетьманства» і передачі його «після нього сину і внуку його неодмінно», а й виношував плани «стати удільним князем», «удільним паном і володарем всієї України», домогтися «незалежної ні від кого монархічної влади» [</w:t>
      </w:r>
      <w:r w:rsidR="00736086" w:rsidRPr="00B0699D">
        <w:rPr>
          <w:rFonts w:ascii="Times New Roman" w:hAnsi="Times New Roman"/>
          <w:noProof/>
          <w:color w:val="000000"/>
          <w:sz w:val="28"/>
          <w:lang w:val="uk-UA"/>
        </w:rPr>
        <w:t>14, 296</w:t>
      </w:r>
      <w:r w:rsidRPr="00B0699D">
        <w:rPr>
          <w:rFonts w:ascii="Times New Roman" w:hAnsi="Times New Roman"/>
          <w:noProof/>
          <w:color w:val="000000"/>
          <w:sz w:val="28"/>
          <w:lang w:val="uk-UA"/>
        </w:rPr>
        <w:t>].</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Втім, саме право вільної гетьманської елекції було одним з ключових понять узагальненого образу «козацьких прав і вольностей». Витоки традиції його правового застереження сягають часів розбудови політичних взаємин Війська Запорозького з польськими королями першої чверті XVII ст., а у своєму концентрованому вигляді цю норму було легітимізовано договором гетьмана Богдана Хмельницького з російським монархом Олексієм Михайловичем 1654 р. Зокрема, в одній зі складових частин «Березневих статей», а саме в «Жалуваній грамоті Олексія Михайловича гетьману Богдану Хмельницькому і всьому війську Запорозькому про збереження їхніх прав і вольностей» застерігалося: «А буде судом Божим смерть случитца гетману, и мы, великий государь, поволили Войску Запорожскому обирати гетмана по прежним</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их</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обычаем самим</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меж</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себя. А кого гетмана оберут, и о том писати к нам, великому государю, да тому ж новообраному на подданство и на верность веру нам, великому государю, учинити, при ком мы, великий государь, укажем» [</w:t>
      </w:r>
      <w:r w:rsidR="00736086" w:rsidRPr="00B0699D">
        <w:rPr>
          <w:rFonts w:ascii="Times New Roman" w:hAnsi="Times New Roman"/>
          <w:noProof/>
          <w:color w:val="000000"/>
          <w:sz w:val="28"/>
          <w:lang w:val="uk-UA"/>
        </w:rPr>
        <w:t>17, 171</w:t>
      </w:r>
      <w:r w:rsidRPr="00B0699D">
        <w:rPr>
          <w:rFonts w:ascii="Times New Roman" w:hAnsi="Times New Roman"/>
          <w:noProof/>
          <w:color w:val="000000"/>
          <w:sz w:val="28"/>
          <w:lang w:val="uk-UA"/>
        </w:rPr>
        <w:t>]. Тобто в цьому випадку йшлося про право вільної, нічим і ніким не обмеженої елекції, з наступним повідомленням про її результати в Москву та обов'язковим складанням новообраним регіментарем присяги цареві у присутності його уповноваженого.</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Прагнучи впровадити монархічну модель організації владних відносин у Гетьманаті, Хмельницький навесні 1657 р. учинив спробу легітимізувати свої нововедення авторитетом російського царя та московського патріарха. Однак інтереси російської правлячої династії в Україні насправді зумовлювали принципово інший алгоритм розвитку політики Москви щодо моделі владної системи Гетьманату взагалі та форм проведення гетьманських виборів зокрема. Уже реагуючи на клопотання Богдана щодо затвердження царем і благословення патріархом факту визнання Юрася Хмельницького офіційним</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спадкоємцем гетьманства, повноважний представник царя в Україні окольничий Ф. Бутурлін зауважив: «По смерти гетмана буде тому слову відміна, те все буде на волі твоїй великого государя: кого ти, великий государ, пожалуєш бути над Військом Запорозьким гетьманом, той і буде...» [</w:t>
      </w:r>
      <w:r w:rsidR="000A4F3D" w:rsidRPr="00B0699D">
        <w:rPr>
          <w:rFonts w:ascii="Times New Roman" w:hAnsi="Times New Roman"/>
          <w:noProof/>
          <w:color w:val="000000"/>
          <w:sz w:val="28"/>
          <w:lang w:val="uk-UA"/>
        </w:rPr>
        <w:t>14, 297</w:t>
      </w:r>
      <w:r w:rsidRPr="00B0699D">
        <w:rPr>
          <w:rFonts w:ascii="Times New Roman" w:hAnsi="Times New Roman"/>
          <w:noProof/>
          <w:color w:val="000000"/>
          <w:sz w:val="28"/>
          <w:lang w:val="uk-UA"/>
        </w:rPr>
        <w:t>].</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Загострення і розрив українсько-російських відносин за років гетьманування Івана Виговського не дав змоги московському керівництву реалізувати свої амбітні наміри відразу по смерті Богдана Хмельницького. Однак уже при поверненні Війська Запорозького, очолюваного його сином</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Юрієм,</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під</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царську</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зверхність восени</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1659</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р. у сфальсифікований царськими дипломатами текст договору 1654 р. було внесено принципове доповнення, що зобов'язувало</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новообраного</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регіментаря</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Війська Запорозького</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для обрання на гетьманство їздити до Моски на аудієнцію до царя. Таким чином, відтепер впроваджувалася своєрідна процедура інавгурації, котра обов'язково мала проходити в Москві, у царських палатах.</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Утім, фактично і Юрій Хмельницький, і його легітимний (з погляду визнання легітимності московським керівництвом) наступник Іван Брюховецький під різними приводами таки зуміли ухилитися від упровадження цієї правової вимоги в політичне життя Гетьманату. А вже договір Війська Запорозького з царем 1669 р. («Глухівські статті») був вільний від неї, містячи натомість у собі норму: «им обирати гетмана по их праву, и чтоб с своего госу-дарского</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милосердия</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пожаловал, велелі дати в войско гетману войс-ковыя клейнота»</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w:t>
      </w:r>
      <w:r w:rsidR="000A4F3D" w:rsidRPr="00B0699D">
        <w:rPr>
          <w:rFonts w:ascii="Times New Roman" w:hAnsi="Times New Roman"/>
          <w:noProof/>
          <w:color w:val="000000"/>
          <w:sz w:val="28"/>
          <w:lang w:val="uk-UA"/>
        </w:rPr>
        <w:t>28, 573</w:t>
      </w:r>
      <w:r w:rsidRPr="00B0699D">
        <w:rPr>
          <w:rFonts w:ascii="Times New Roman" w:hAnsi="Times New Roman"/>
          <w:noProof/>
          <w:color w:val="000000"/>
          <w:sz w:val="28"/>
          <w:lang w:val="uk-UA"/>
        </w:rPr>
        <w:t>]. Щоправда, водночас залишалась у силі норма, зафіксована в «Нових статтях» Юрія Хмельницького 1659 р., котра забороняла Війську Запорозькому зміщувати за будь-які проступки, за винятком лише зради царя, гетьмана з його уряду без відповідного царського дозволу: «А самим однолично гетмана, без указа царского величества,</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не переменять...» [</w:t>
      </w:r>
      <w:r w:rsidR="000A4F3D" w:rsidRPr="00B0699D">
        <w:rPr>
          <w:rFonts w:ascii="Times New Roman" w:hAnsi="Times New Roman"/>
          <w:noProof/>
          <w:color w:val="000000"/>
          <w:sz w:val="28"/>
          <w:lang w:val="uk-UA"/>
        </w:rPr>
        <w:t>28, 574</w:t>
      </w:r>
      <w:r w:rsidRPr="00B0699D">
        <w:rPr>
          <w:rFonts w:ascii="Times New Roman" w:hAnsi="Times New Roman"/>
          <w:noProof/>
          <w:color w:val="000000"/>
          <w:sz w:val="28"/>
          <w:lang w:val="uk-UA"/>
        </w:rPr>
        <w:t>].</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Отже, з формально-правового боку вирішення проблеми гетьманської елекції покладалося на волю Війська Запорозького, але з обмеженням на користь царя права позбавлення гетьманської булави та скликання елекційної ради. Крім того, де-факто утвердилася</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практика</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проведення елекційних рад за обов'язкової участі повноважних представників царя</w:t>
      </w:r>
      <w:r w:rsidR="00474E8E" w:rsidRPr="00B0699D">
        <w:rPr>
          <w:rFonts w:ascii="Times New Roman" w:hAnsi="Times New Roman"/>
          <w:noProof/>
          <w:color w:val="000000"/>
          <w:sz w:val="28"/>
          <w:lang w:val="uk-UA"/>
        </w:rPr>
        <w:t xml:space="preserve"> </w:t>
      </w:r>
      <w:r w:rsidR="000A4F3D"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окольничого чи боярина в другій половині XVII ст. та, відповідно, таємного радника чи вищого офіцерського чину російської армії в першій половині XVIII ст., причому зазвичай виряджалися вони в Україну в супроводі царського війська.</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Тенденція до посилення гетьманського авторитаризму зумовила активну протидію з боку вищої старшини, яка часто-густо отримувала дієву допомогу з боку російської влади. Зокрема, авторитарні прагнення Д. Многогрішного та І. Самойловича стали однією з головних причин усунення їх від влади.</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Крім того, протягом усієї другої половини ХVІІ ст. політичний курс Москви виразно тяжіє до обмеження гетьманських прерогатив на свою користь та перерозподілу їх з-поміж вищої козацької старшини. Зокрема, уже «Переяславські статті» Юрія Хмельницького 1659 р., крім вимог щодо зобов'язання новообраного гетьмана їхати до Москви, аби з рук царя отримати булаву, хоругву і жалувану грамоту на гетьманство, позбавляли його права самостійно розпоряджатись українським військом, без санкції царя воювати з сусідніми</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країнами чи надавати їхнім правителям військову допомогу. Також «без рады и совіту всей черни» гетьман не мав права призначати на полковницькі й старшинські уряди та позбавляти старшин влади. Окрема стаття обмежувала його</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компетенції у судовій сфері, виводячи з-під гетьманської юрисдикції в карних справах цілу низку старшин, які мали особливі заслуги перед царем [</w:t>
      </w:r>
      <w:r w:rsidR="000A4F3D" w:rsidRPr="00B0699D">
        <w:rPr>
          <w:rFonts w:ascii="Times New Roman" w:hAnsi="Times New Roman"/>
          <w:noProof/>
          <w:color w:val="000000"/>
          <w:sz w:val="28"/>
          <w:lang w:val="uk-UA"/>
        </w:rPr>
        <w:t>27, 42</w:t>
      </w:r>
      <w:r w:rsidRPr="00B0699D">
        <w:rPr>
          <w:rFonts w:ascii="Times New Roman" w:hAnsi="Times New Roman"/>
          <w:noProof/>
          <w:color w:val="000000"/>
          <w:sz w:val="28"/>
          <w:lang w:val="uk-UA"/>
        </w:rPr>
        <w:t>].</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«Глухівські статті» 1669 р. позбавили гетьмана права на ведення зовнішньополітичної діяльності, а також передбачали його підсудність російській владі. «Конотопські статті» 1672 р. для того, аби старшина надалі не зазнавала від гетьмана «неволі і жорстокості»,</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закріплювали положення, що забороняли українському правителю одноосібно, без ради зі старшиною,</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карати козацьких урядовців, провину яких відтепер мав обов'язково засвідчити Генеральний суд. Аналогічна вимога ставилась і при позбавленні регіментарем старшин урядування. «Коломацькі</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статті» 1686 р. обмежували прерогативи гетьмана у сфері поземельних відносин, забороняючи регіментареві без узгодження з Москвою відбирати у</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власників</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надані раніше гетьманською владою і підтверджені царськими грамотами рангові ґрунти та промисли.</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Вищим органом влади вважалася військова рада, але гетьман і</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генеральна старшина вміло маніпулювали нею, і значення останньої поступово зменшувалося. Гетьмана обирали на все життя. Спроби становлення гетьманської династії не вдалися. Маються на увазі вибори по смерті Б. Хмельницького гетьманом Ю.Хмельницького тільки через те, що він був сином Богдана. Але далі династична ідея не пішла. Гетьманське достоїнство лишалося виборним. Перший орган верховної влади в Україні – козацьке військо. Другий орган верховної влади – Рада. Вона є відгуком в умовах Запорізької Січі вічевої влади. Її також можна було порівняти із сеймом. Але на відміну від сейму чи сьогоденної Верховної Ради</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представників не вибирали, а збиралася ніби вся громада. Періодичних зборів не було. Вона збиралася за необхідністю тоді, коли треба було гетьманові, чи більшості козаків.</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В.</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Антонович наголошує на тому, що не відомо до кого належала головна державна функція</w:t>
      </w:r>
      <w:r w:rsidR="000A4F3D" w:rsidRPr="00B0699D">
        <w:rPr>
          <w:rFonts w:ascii="Times New Roman" w:hAnsi="Times New Roman"/>
          <w:noProof/>
          <w:color w:val="000000"/>
          <w:sz w:val="28"/>
          <w:lang w:val="uk-UA"/>
        </w:rPr>
        <w:t xml:space="preserve"> [1, 64]</w:t>
      </w:r>
      <w:r w:rsidRPr="00B0699D">
        <w:rPr>
          <w:rFonts w:ascii="Times New Roman" w:hAnsi="Times New Roman"/>
          <w:noProof/>
          <w:color w:val="000000"/>
          <w:sz w:val="28"/>
          <w:lang w:val="uk-UA"/>
        </w:rPr>
        <w:t>. Жодна з трьох перелічених рад не мала установленного закону: збиралися задля потреби та на змову. Кожна рада мала однакову силу після звичаєвого права, яке поєднує в собі матріархальні та патріархальні порядки, які набувають обов’язкового статусу. Тобто звичаєве право ґрунтується на традиції, звичаї; на наданні законного вигляду давнім звичаям, традиціям, що склалися в минулому. Головна державна функція не була чітко визначена, про неї можна було всяко думати, всяко її тлумачити.</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Особисто гетьман очолював генеральний уряд, козацьке військо і всю старшинську адміністрацію. Як голова судової влади він затверджував</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присуди генерального і полкових судів з найважливіших справ. Гетьман рекомендував до виборів або особисто призначав старшинську адміністрацію.</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Від імені козацького війська і всієї України він проводив дипломатичні переговори й укладав міжнародні угоди, призначав послів й інших дипломатичних представників, забезпечував зміцнення міжнародного становища України. Риси монархічного панування були особливо виразними за правління Б.Хмельницького, І.Самойловича. Проте в політичній системі гетьманської влади досить сильними були і демократичні переваги. </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Козацька маса не схвалювала монархічного характеру гетьманської влади. За її ініціативи було позбавлено булави чимало ватажків, які втратили опору старшини або козацьких низів.</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До інституту гетьманства належала уся адміністрація краю. Адміністративні функції гетьмана відображалися в універсалах. До атрибутів адміністративної влади належала ще одна важлива функція: право роздавати землі. Ця адміністративна функція була дуже важливим привілеєм гетьманської влади. </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До інституту гетьманства, крім воєнної та адміністративної влади, належала ще й фінансова влада: йдеться про право збирати податки з торгівлі, із промислів та ремесел. Усі вони йшли у військову касу. Фінансова діяльність велася без певного порядку. Дуже довго не відрізнялись власне гетьманські гроші від грошей військових. Усі вони лічилися вкупі. Гетьманські фінанси від військового скарбу стали відрізнятися лише при Данилі Апостолі. Тоді булла встановлена посада генерального підскарбія, по-сучасному – міністр фінансів.</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Гетьман і вся козацька старшина не діставали пенсії, а брали платню натурою. В Україні були маєтності, доходи з яких йшли на пенсію</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гетьманів.</w:t>
      </w:r>
    </w:p>
    <w:p w:rsidR="00DA79C2"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Т</w:t>
      </w:r>
      <w:r w:rsidR="002E2E83" w:rsidRPr="00B0699D">
        <w:rPr>
          <w:rFonts w:ascii="Times New Roman" w:hAnsi="Times New Roman"/>
          <w:noProof/>
          <w:color w:val="000000"/>
          <w:sz w:val="28"/>
          <w:lang w:val="uk-UA"/>
        </w:rPr>
        <w:t>а</w:t>
      </w:r>
      <w:r w:rsidRPr="00B0699D">
        <w:rPr>
          <w:rFonts w:ascii="Times New Roman" w:hAnsi="Times New Roman"/>
          <w:noProof/>
          <w:color w:val="000000"/>
          <w:sz w:val="28"/>
          <w:lang w:val="uk-UA"/>
        </w:rPr>
        <w:t>ким чином</w:t>
      </w:r>
      <w:r w:rsidR="002E2E83"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можна підсумувати, що і</w:t>
      </w:r>
      <w:r w:rsidR="00DA79C2" w:rsidRPr="00B0699D">
        <w:rPr>
          <w:rFonts w:ascii="Times New Roman" w:hAnsi="Times New Roman"/>
          <w:noProof/>
          <w:color w:val="000000"/>
          <w:sz w:val="28"/>
          <w:lang w:val="uk-UA"/>
        </w:rPr>
        <w:t>нститут гетьманства сприйняв від інституту княжої влади пріоритет</w:t>
      </w:r>
      <w:r w:rsidR="00BC6668" w:rsidRPr="00B0699D">
        <w:rPr>
          <w:rFonts w:ascii="Times New Roman" w:hAnsi="Times New Roman"/>
          <w:noProof/>
          <w:color w:val="000000"/>
          <w:sz w:val="28"/>
          <w:lang w:val="uk-UA"/>
        </w:rPr>
        <w:t xml:space="preserve"> </w:t>
      </w:r>
      <w:r w:rsidR="00DA79C2" w:rsidRPr="00B0699D">
        <w:rPr>
          <w:rFonts w:ascii="Times New Roman" w:hAnsi="Times New Roman"/>
          <w:noProof/>
          <w:color w:val="000000"/>
          <w:sz w:val="28"/>
          <w:lang w:val="uk-UA"/>
        </w:rPr>
        <w:t>світської влади над церковною і розвивав царське та демократичне начала</w:t>
      </w:r>
      <w:r w:rsidR="00BC6668" w:rsidRPr="00B0699D">
        <w:rPr>
          <w:rFonts w:ascii="Times New Roman" w:hAnsi="Times New Roman"/>
          <w:noProof/>
          <w:color w:val="000000"/>
          <w:sz w:val="28"/>
          <w:lang w:val="uk-UA"/>
        </w:rPr>
        <w:t xml:space="preserve"> </w:t>
      </w:r>
      <w:r w:rsidR="00DA79C2" w:rsidRPr="00B0699D">
        <w:rPr>
          <w:rFonts w:ascii="Times New Roman" w:hAnsi="Times New Roman"/>
          <w:noProof/>
          <w:color w:val="000000"/>
          <w:sz w:val="28"/>
          <w:lang w:val="uk-UA"/>
        </w:rPr>
        <w:t>княжої влади, з іншого – їх контролювала громадськість і, насамперед,</w:t>
      </w:r>
      <w:r w:rsidR="00BC6668" w:rsidRPr="00B0699D">
        <w:rPr>
          <w:rFonts w:ascii="Times New Roman" w:hAnsi="Times New Roman"/>
          <w:noProof/>
          <w:color w:val="000000"/>
          <w:sz w:val="28"/>
          <w:lang w:val="uk-UA"/>
        </w:rPr>
        <w:t xml:space="preserve"> </w:t>
      </w:r>
      <w:r w:rsidR="00DA79C2" w:rsidRPr="00B0699D">
        <w:rPr>
          <w:rFonts w:ascii="Times New Roman" w:hAnsi="Times New Roman"/>
          <w:noProof/>
          <w:color w:val="000000"/>
          <w:sz w:val="28"/>
          <w:lang w:val="uk-UA"/>
        </w:rPr>
        <w:t>запорізьке військо. Адміністративне, військові, суддівські та інші гілки</w:t>
      </w:r>
      <w:r w:rsidR="00BC6668" w:rsidRPr="00B0699D">
        <w:rPr>
          <w:rFonts w:ascii="Times New Roman" w:hAnsi="Times New Roman"/>
          <w:noProof/>
          <w:color w:val="000000"/>
          <w:sz w:val="28"/>
          <w:lang w:val="uk-UA"/>
        </w:rPr>
        <w:t xml:space="preserve"> </w:t>
      </w:r>
      <w:r w:rsidR="00DA79C2" w:rsidRPr="00B0699D">
        <w:rPr>
          <w:rFonts w:ascii="Times New Roman" w:hAnsi="Times New Roman"/>
          <w:noProof/>
          <w:color w:val="000000"/>
          <w:sz w:val="28"/>
          <w:lang w:val="uk-UA"/>
        </w:rPr>
        <w:t>гетьманської влади розвивали кращі традиції княжої влади і творчо</w:t>
      </w:r>
      <w:r w:rsidR="00BC6668" w:rsidRPr="00B0699D">
        <w:rPr>
          <w:rFonts w:ascii="Times New Roman" w:hAnsi="Times New Roman"/>
          <w:noProof/>
          <w:color w:val="000000"/>
          <w:sz w:val="28"/>
          <w:lang w:val="uk-UA"/>
        </w:rPr>
        <w:t xml:space="preserve"> </w:t>
      </w:r>
      <w:r w:rsidR="00DA79C2" w:rsidRPr="00B0699D">
        <w:rPr>
          <w:rFonts w:ascii="Times New Roman" w:hAnsi="Times New Roman"/>
          <w:noProof/>
          <w:color w:val="000000"/>
          <w:sz w:val="28"/>
          <w:lang w:val="uk-UA"/>
        </w:rPr>
        <w:t>сприймаються інститутом президентської влади.</w:t>
      </w:r>
    </w:p>
    <w:p w:rsidR="000A4F3D" w:rsidRPr="00B0699D" w:rsidRDefault="000A4F3D" w:rsidP="00474E8E">
      <w:pPr>
        <w:spacing w:after="0" w:line="360" w:lineRule="auto"/>
        <w:ind w:firstLine="709"/>
        <w:jc w:val="both"/>
        <w:rPr>
          <w:rFonts w:ascii="Times New Roman" w:hAnsi="Times New Roman"/>
          <w:noProof/>
          <w:color w:val="000000"/>
          <w:sz w:val="28"/>
          <w:lang w:val="uk-UA"/>
        </w:rPr>
      </w:pPr>
    </w:p>
    <w:p w:rsidR="002E2E83" w:rsidRPr="00B0699D" w:rsidRDefault="00474E8E" w:rsidP="00474E8E">
      <w:pPr>
        <w:spacing w:after="0" w:line="360" w:lineRule="auto"/>
        <w:ind w:firstLine="709"/>
        <w:jc w:val="both"/>
        <w:rPr>
          <w:rFonts w:ascii="Times New Roman" w:hAnsi="Times New Roman"/>
          <w:noProof/>
          <w:color w:val="000000"/>
          <w:sz w:val="28"/>
          <w:lang w:val="uk-UA"/>
        </w:rPr>
      </w:pPr>
      <w:bookmarkStart w:id="4" w:name="_Toc228346838"/>
      <w:r w:rsidRPr="00B0699D">
        <w:rPr>
          <w:rFonts w:ascii="Times New Roman" w:hAnsi="Times New Roman"/>
          <w:noProof/>
          <w:color w:val="000000"/>
          <w:sz w:val="28"/>
          <w:lang w:val="uk-UA"/>
        </w:rPr>
        <w:t xml:space="preserve">1.3 </w:t>
      </w:r>
      <w:r w:rsidR="002E2E83" w:rsidRPr="00B0699D">
        <w:rPr>
          <w:rFonts w:ascii="Times New Roman" w:hAnsi="Times New Roman"/>
          <w:noProof/>
          <w:color w:val="000000"/>
          <w:sz w:val="28"/>
          <w:lang w:val="uk-UA"/>
        </w:rPr>
        <w:t>Ге</w:t>
      </w:r>
      <w:r w:rsidRPr="00B0699D">
        <w:rPr>
          <w:rFonts w:ascii="Times New Roman" w:hAnsi="Times New Roman"/>
          <w:noProof/>
          <w:color w:val="000000"/>
          <w:sz w:val="28"/>
          <w:lang w:val="uk-UA"/>
        </w:rPr>
        <w:t>н</w:t>
      </w:r>
      <w:r w:rsidR="002E2E83" w:rsidRPr="00B0699D">
        <w:rPr>
          <w:rFonts w:ascii="Times New Roman" w:hAnsi="Times New Roman"/>
          <w:noProof/>
          <w:color w:val="000000"/>
          <w:sz w:val="28"/>
          <w:lang w:val="uk-UA"/>
        </w:rPr>
        <w:t>еральна та Старшинська рад</w:t>
      </w:r>
      <w:r w:rsidR="004F5FA4" w:rsidRPr="00B0699D">
        <w:rPr>
          <w:rFonts w:ascii="Times New Roman" w:hAnsi="Times New Roman"/>
          <w:noProof/>
          <w:color w:val="000000"/>
          <w:sz w:val="28"/>
          <w:lang w:val="uk-UA"/>
        </w:rPr>
        <w:t>и</w:t>
      </w:r>
      <w:r w:rsidR="002E2E83" w:rsidRPr="00B0699D">
        <w:rPr>
          <w:rFonts w:ascii="Times New Roman" w:hAnsi="Times New Roman"/>
          <w:noProof/>
          <w:color w:val="000000"/>
          <w:sz w:val="28"/>
          <w:lang w:val="uk-UA"/>
        </w:rPr>
        <w:t xml:space="preserve"> – ограни політичної влади Української козацької держави в XVII ст.</w:t>
      </w:r>
      <w:bookmarkEnd w:id="4"/>
    </w:p>
    <w:p w:rsidR="00474E8E" w:rsidRPr="00B0699D" w:rsidRDefault="00474E8E" w:rsidP="00474E8E">
      <w:pPr>
        <w:spacing w:after="0" w:line="360" w:lineRule="auto"/>
        <w:ind w:firstLine="709"/>
        <w:jc w:val="both"/>
        <w:rPr>
          <w:rFonts w:ascii="Times New Roman" w:hAnsi="Times New Roman"/>
          <w:noProof/>
          <w:color w:val="000000"/>
          <w:sz w:val="28"/>
          <w:lang w:val="uk-UA"/>
        </w:rPr>
      </w:pPr>
    </w:p>
    <w:p w:rsidR="002E2E83" w:rsidRPr="00B0699D" w:rsidRDefault="002E2E83"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У ході революційного переоблаштування українського суспільного життя в середині XVIІ ст. демократичні засади, що до того існували на Січі, було перенесено на терени, які підлягали владі Війська Запорозького та його гетьмана. У результаті цього найвищим розпорядчим органом у державному житті Гетьманату стала Генеральна рада — загальнокозацьке зібрання, що ухвалювало рішення, які були обов’язковими до виконання як козацькою старшиною, козацтвом, так і представниками інших соціальних станів, що проживали в межах козацької держави. </w:t>
      </w:r>
    </w:p>
    <w:p w:rsidR="002E2E83" w:rsidRPr="00B0699D" w:rsidRDefault="002E2E83"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Прерогатива скликання Генеральних рад належала гетьману або за його відсутності – генеральній старшині. Процедура збору ради мала такий порядок: за наказом гетьмана Генеральна військова канцелярія розсилала універсали з відповідними наказами до полковників і полкової старшини, які своєю чергою інформували нижчий, сотенний рівень козацької адміністрації. </w:t>
      </w:r>
    </w:p>
    <w:p w:rsidR="002E2E83" w:rsidRPr="00B0699D" w:rsidRDefault="002E2E83"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До середини XVIІ ст. до участі в Генеральних радах допускалися представники лише козацького стану. З початком революції, коли Військо Запорозьке почало себе усвідомлювати в якості загальнонаціональної політичної еліти, на ради почали запрошувати представників вищого православного духовенства — митрополитів, єпископів, настоятелів великих православних монастирів, протопопів важливих козацьких центрів. Часто, особливо, коли на обговорення виносилися питання широкого суспільного значення, до участі в радах допускалися представники міської адміністрації — війти, бурмістри, лавники тощо. У залежності від характеру взаємин гетьманської адміністрації зі старшиною Запорозької Січі, до участі в Генеральних радах запрошувалися або не запрошувалися представники низового козацтва</w:t>
      </w:r>
      <w:r w:rsidR="000A4F3D" w:rsidRPr="00B0699D">
        <w:rPr>
          <w:rFonts w:ascii="Times New Roman" w:hAnsi="Times New Roman"/>
          <w:noProof/>
          <w:color w:val="000000"/>
          <w:sz w:val="28"/>
          <w:lang w:val="uk-UA"/>
        </w:rPr>
        <w:t xml:space="preserve"> [3, 76-77]</w:t>
      </w:r>
      <w:r w:rsidRPr="00B0699D">
        <w:rPr>
          <w:rFonts w:ascii="Times New Roman" w:hAnsi="Times New Roman"/>
          <w:noProof/>
          <w:color w:val="000000"/>
          <w:sz w:val="28"/>
          <w:lang w:val="uk-UA"/>
        </w:rPr>
        <w:t xml:space="preserve">. </w:t>
      </w:r>
    </w:p>
    <w:p w:rsidR="002E2E83" w:rsidRPr="00B0699D" w:rsidRDefault="002E2E83"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Дослідники відзначають той факт, що Генеральна рада не мала чітко визначених норм представництва. Під час військових походів, коли Військо Запорозьке перебувало в стані мобілізації, коло учасників рад було широким, практично загальноосяжним. В інших випадках гетьман і старшина практикували запрошення до участі в роботі Генеральних рад лише представників від полків. Обов’язковою умовою правомочності ради була участь в її роботі представників від усіх козацьких полків. Скликання ж ради без запрошення або без прибуття в силу різних обставин делегації того чи іншого полку майже завжди породжувало гострий політичний конфлікт. </w:t>
      </w:r>
    </w:p>
    <w:p w:rsidR="002E2E83" w:rsidRPr="00B0699D" w:rsidRDefault="002E2E83"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Зазвичай, на Генеральній раді головував гетьман або в тому випадку, коли йшлося лише про його обрання — хтось із представників вищої козацької старшини, найчастіше — генеральний обозний. </w:t>
      </w:r>
    </w:p>
    <w:p w:rsidR="002E2E83" w:rsidRPr="00B0699D" w:rsidRDefault="002E2E83"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За розпорядників на радах виступали генеральні осавули, котрі слідкували за дотриманням козаками порядку та фіксували результати їхнього волевиявлення. </w:t>
      </w:r>
    </w:p>
    <w:p w:rsidR="002E2E83" w:rsidRPr="00B0699D" w:rsidRDefault="002E2E83"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Генеральні ради як обов’язковийполітичний інститут доволі регулярно діяли на початковому етапі Визвольної війни, згодом їх значення суттєво понизилося. Причиною цьому була передовсім неефективність обговорення та вирішення важких питань за умови скупчення надзвичайно великої кількості учасників. А тому з кінця XVIІ ст. за Генеральною радою було залишено лише функції гетьманського обрання</w:t>
      </w:r>
      <w:r w:rsidR="000A4F3D" w:rsidRPr="00B0699D">
        <w:rPr>
          <w:rFonts w:ascii="Times New Roman" w:hAnsi="Times New Roman"/>
          <w:noProof/>
          <w:color w:val="000000"/>
          <w:sz w:val="28"/>
          <w:lang w:val="uk-UA"/>
        </w:rPr>
        <w:t xml:space="preserve"> [7, 78]</w:t>
      </w:r>
      <w:r w:rsidRPr="00B0699D">
        <w:rPr>
          <w:rFonts w:ascii="Times New Roman" w:hAnsi="Times New Roman"/>
          <w:noProof/>
          <w:color w:val="000000"/>
          <w:sz w:val="28"/>
          <w:lang w:val="uk-UA"/>
        </w:rPr>
        <w:t xml:space="preserve">. </w:t>
      </w:r>
    </w:p>
    <w:p w:rsidR="002E2E83" w:rsidRPr="00B0699D" w:rsidRDefault="002E2E83"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В міру того, як занепадало значення Генеральної ради, все більш важливим елементом політичної системи Гетьманату ставала старшинська рада. На перших порах старшинська рада виступала в ролі дорадчого органу при гетьманові, на якому готувалися питання для розгляду на Генеральній раді. З часом, коли відбувалася консолідація верстви козацької старшини, цей інститут ставав обов’язковим атрибутом політико-державної структури України. Угоди гетьмана та Війська Запорозького з російськими царями 1672, 1674 та 1686 р., які виступали одночасно й своєрідними конституційними актами для внутрішньополітичного життя конституювали обов’язкову участь вищої козацької старшини в політичному житті Гетьманату саме через діяльність інституту старшинської ради. </w:t>
      </w:r>
    </w:p>
    <w:p w:rsidR="002E2E83" w:rsidRPr="00B0699D" w:rsidRDefault="002E2E83"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Від часів гетьманування Б.Хмельницького на обговорення учасників старшинських рад виносилися питання зовнішньої політики, оголошення військових походів і укладення миру, визначення узгодженої кандидатури на обрання гетьманом, регулювання податкової політики, розпорядження спільно з гетьманом земельним фондом держави, призначення на вищі полкові уряди тощо. </w:t>
      </w:r>
    </w:p>
    <w:p w:rsidR="002E2E83" w:rsidRPr="00B0699D" w:rsidRDefault="002E2E83"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До участі в старшинських радах обов’язково запрошувалися полковники, генеральні старшини і досить часто – полкова старшина. В окремих випадках зафіксовано проведення старшинських рад у розширеному складі, коли до участі в них допускалися «всі козацькі урядники» чи «всі начальні люди»</w:t>
      </w:r>
      <w:r w:rsidR="000A4F3D" w:rsidRPr="00B0699D">
        <w:rPr>
          <w:rFonts w:ascii="Times New Roman" w:hAnsi="Times New Roman"/>
          <w:noProof/>
          <w:color w:val="000000"/>
          <w:sz w:val="28"/>
          <w:lang w:val="uk-UA"/>
        </w:rPr>
        <w:t xml:space="preserve"> [8, №4, 24]</w:t>
      </w:r>
      <w:r w:rsidRPr="00B0699D">
        <w:rPr>
          <w:rFonts w:ascii="Times New Roman" w:hAnsi="Times New Roman"/>
          <w:noProof/>
          <w:color w:val="000000"/>
          <w:sz w:val="28"/>
          <w:lang w:val="uk-UA"/>
        </w:rPr>
        <w:t xml:space="preserve">. Найнижчими козацькими урядовцями, що запрошувалися на старшинські ради, були сотники. Присутність на них козацьких отаманів чи виборних від полків джерела не фіксують. Разом з тим, збереглися відомості про запрошення на старшинські ради представників міської адміністрації найбільш важливих міських центрів Гетьманщини. </w:t>
      </w:r>
    </w:p>
    <w:p w:rsidR="002E2E83" w:rsidRPr="00B0699D" w:rsidRDefault="002E2E83" w:rsidP="00474E8E">
      <w:pPr>
        <w:spacing w:after="0" w:line="360" w:lineRule="auto"/>
        <w:ind w:firstLine="709"/>
        <w:jc w:val="both"/>
        <w:rPr>
          <w:rFonts w:ascii="Times New Roman" w:hAnsi="Times New Roman"/>
          <w:noProof/>
          <w:color w:val="000000"/>
          <w:sz w:val="28"/>
          <w:lang w:val="uk-UA"/>
        </w:rPr>
      </w:pPr>
    </w:p>
    <w:p w:rsidR="00BD3FD6" w:rsidRPr="00B0699D" w:rsidRDefault="00F75BF6" w:rsidP="00474E8E">
      <w:pPr>
        <w:spacing w:after="0" w:line="360" w:lineRule="auto"/>
        <w:ind w:firstLine="709"/>
        <w:jc w:val="both"/>
        <w:rPr>
          <w:rFonts w:ascii="Times New Roman" w:hAnsi="Times New Roman"/>
          <w:noProof/>
          <w:color w:val="000000"/>
          <w:sz w:val="28"/>
          <w:lang w:val="uk-UA"/>
        </w:rPr>
      </w:pPr>
      <w:bookmarkStart w:id="5" w:name="_Toc228346839"/>
      <w:r w:rsidRPr="00B0699D">
        <w:rPr>
          <w:rFonts w:ascii="Times New Roman" w:hAnsi="Times New Roman"/>
          <w:noProof/>
          <w:color w:val="000000"/>
          <w:sz w:val="28"/>
          <w:lang w:val="uk-UA"/>
        </w:rPr>
        <w:t xml:space="preserve">1.4 </w:t>
      </w:r>
      <w:r w:rsidR="00CF5AA1" w:rsidRPr="00B0699D">
        <w:rPr>
          <w:rFonts w:ascii="Times New Roman" w:hAnsi="Times New Roman"/>
          <w:noProof/>
          <w:color w:val="000000"/>
          <w:sz w:val="28"/>
          <w:lang w:val="uk-UA"/>
        </w:rPr>
        <w:t>Роль генеральної старшини в структурі політичної влади Гетьманату</w:t>
      </w:r>
      <w:bookmarkEnd w:id="5"/>
    </w:p>
    <w:p w:rsidR="004F5FA4" w:rsidRPr="00B0699D" w:rsidRDefault="004F5FA4" w:rsidP="00474E8E">
      <w:pPr>
        <w:spacing w:after="0" w:line="360" w:lineRule="auto"/>
        <w:ind w:firstLine="709"/>
        <w:jc w:val="both"/>
        <w:rPr>
          <w:rFonts w:ascii="Times New Roman" w:hAnsi="Times New Roman"/>
          <w:noProof/>
          <w:color w:val="000000"/>
          <w:sz w:val="28"/>
          <w:lang w:val="uk-UA"/>
        </w:rPr>
      </w:pP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До інституту гетьманства належ</w:t>
      </w:r>
      <w:r w:rsidR="00CF5AA1" w:rsidRPr="00B0699D">
        <w:rPr>
          <w:rFonts w:ascii="Times New Roman" w:hAnsi="Times New Roman"/>
          <w:noProof/>
          <w:color w:val="000000"/>
          <w:sz w:val="28"/>
          <w:lang w:val="uk-UA"/>
        </w:rPr>
        <w:t>ав</w:t>
      </w:r>
      <w:r w:rsidRPr="00B0699D">
        <w:rPr>
          <w:rFonts w:ascii="Times New Roman" w:hAnsi="Times New Roman"/>
          <w:noProof/>
          <w:color w:val="000000"/>
          <w:sz w:val="28"/>
          <w:lang w:val="uk-UA"/>
        </w:rPr>
        <w:t xml:space="preserve"> великий ряд урядників – генеральна старшина. Вона являла собою політичну еліту українського суспільства, найвищу виборну військову та цивільну адміністрацією, виконавчий орган державного управління, рада при гетьмані у XVII ст. До генеральної старшини належали:</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Генеральний обозний – фактично друга особа після гетьмана, керівник артилерії у війську, як правило, призначався наказом гетьмана;</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Генеральні судді – два члени генерального військового суду, який очолював сам гетьман. До військового суду входили ще й деякі генеральні</w:t>
      </w:r>
      <w:r w:rsidR="00F75BF6"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старшини;</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Генеральний підскарбій – завідувач державним скарбом;</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Генеральний писар – державний канцер, тобто праведник генеральної військової канцелярії, хранитель державної печатки. Він часто виконував функції керівника закордонного відомства;</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Генеральний бунчужний – головний охоронець символу гетьманської влади – бунчука, під час війни командував за дорученням гетьмана окремими частинами, виконував окремі дипломатичні функції;</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Генеральний хорунжий – головний охоронець військового прапора. Як і генеральний бунчужний, займався й іншими військовими та адміністративними справами;</w:t>
      </w:r>
    </w:p>
    <w:p w:rsidR="0016471C" w:rsidRPr="00B0699D" w:rsidRDefault="0016471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Генеральні осавули – два члени генеральної старшини для надання допомоги гетьману у військових справах і керівництва козацьким військом</w:t>
      </w:r>
      <w:r w:rsidR="000A4F3D" w:rsidRPr="00B0699D">
        <w:rPr>
          <w:rFonts w:ascii="Times New Roman" w:hAnsi="Times New Roman"/>
          <w:noProof/>
          <w:color w:val="000000"/>
          <w:sz w:val="28"/>
          <w:lang w:val="uk-UA"/>
        </w:rPr>
        <w:t xml:space="preserve"> [19, 97]</w:t>
      </w:r>
      <w:r w:rsidRPr="00B0699D">
        <w:rPr>
          <w:rFonts w:ascii="Times New Roman" w:hAnsi="Times New Roman"/>
          <w:noProof/>
          <w:color w:val="000000"/>
          <w:sz w:val="28"/>
          <w:lang w:val="uk-UA"/>
        </w:rPr>
        <w:t>.</w:t>
      </w:r>
    </w:p>
    <w:p w:rsidR="00AA74FF"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Значно зростало значення генеральної старшини в часи міжгетьманства. Зокрема, за свідченнями Самовидця, гетьман Б. Хмельницький перед смертю, передаючи владу синові Юрію, віддав його під опіку генерального писаря І. Виговського, генерального обозного Т. Носача та генерального судді </w:t>
      </w:r>
      <w:r w:rsidR="00CF5AA1" w:rsidRPr="00B0699D">
        <w:rPr>
          <w:rFonts w:ascii="Times New Roman" w:hAnsi="Times New Roman"/>
          <w:noProof/>
          <w:color w:val="000000"/>
          <w:sz w:val="28"/>
          <w:lang w:val="uk-UA"/>
        </w:rPr>
        <w:t xml:space="preserve">Г. </w:t>
      </w:r>
      <w:r w:rsidRPr="00B0699D">
        <w:rPr>
          <w:rFonts w:ascii="Times New Roman" w:hAnsi="Times New Roman"/>
          <w:noProof/>
          <w:color w:val="000000"/>
          <w:sz w:val="28"/>
          <w:lang w:val="uk-UA"/>
        </w:rPr>
        <w:t>Лесницького [</w:t>
      </w:r>
      <w:r w:rsidR="000A4F3D" w:rsidRPr="00B0699D">
        <w:rPr>
          <w:rFonts w:ascii="Times New Roman" w:hAnsi="Times New Roman"/>
          <w:noProof/>
          <w:color w:val="000000"/>
          <w:sz w:val="28"/>
          <w:lang w:val="uk-UA"/>
        </w:rPr>
        <w:t>14, 302-303</w:t>
      </w:r>
      <w:r w:rsidRPr="00B0699D">
        <w:rPr>
          <w:rFonts w:ascii="Times New Roman" w:hAnsi="Times New Roman"/>
          <w:noProof/>
          <w:color w:val="000000"/>
          <w:sz w:val="28"/>
          <w:lang w:val="uk-UA"/>
        </w:rPr>
        <w:t>]. Аналогічно в березні 1672 р., коли Д. Многогрішного скинули з гетьманства, владу до виборів нового гетьмана також було зосереджено в руках генерального</w:t>
      </w:r>
      <w:r w:rsidR="003C741B"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обозного, двох суддів і писаря.</w:t>
      </w:r>
    </w:p>
    <w:p w:rsidR="00CF5AA1"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На ієрархічних сходах старшинських урядів найближче до гетьмана стояв генеральний обозний. Цей інститут був відомим на Запорожжі уже з початку XVII ст. Від перших визвольних змагань козацтва середини XVII ст. та становлення Української козацької держави</w:t>
      </w:r>
      <w:r w:rsidR="00CF5AA1"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генеральний обозний є обов'язковою і доволі важливою ланкою державного і військового управління Гетьманату. На уряд, який увінчував службову ієрархію Війська Запорозького, як правило, обирали найавторитетніших і найдосвідченіших командирів. Зокрема, з-поміж відомих нам майже 20 старшин, що</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обіймали</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посаду генерального обозного упродовж 1648-1687 рр., четверо </w:t>
      </w:r>
      <w:r w:rsidR="00CF5AA1"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Петро Дорошенко,</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Іван Безпалий,</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Петро</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Забіла,</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Михайло Радкевич </w:t>
      </w:r>
      <w:r w:rsidR="00CF5AA1"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перед тим очолювали інші генеральні уряди, а саме: генеральних суддів і осавулів.</w:t>
      </w:r>
      <w:r w:rsidR="00474E8E" w:rsidRPr="00B0699D">
        <w:rPr>
          <w:rFonts w:ascii="Times New Roman" w:hAnsi="Times New Roman"/>
          <w:noProof/>
          <w:color w:val="000000"/>
          <w:sz w:val="28"/>
          <w:lang w:val="uk-UA"/>
        </w:rPr>
        <w:t xml:space="preserve"> </w:t>
      </w:r>
    </w:p>
    <w:p w:rsidR="00AA74FF"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В адміністративній практиці </w:t>
      </w:r>
      <w:r w:rsidR="00CF5AA1" w:rsidRPr="00B0699D">
        <w:rPr>
          <w:rFonts w:ascii="Times New Roman" w:hAnsi="Times New Roman"/>
          <w:noProof/>
          <w:color w:val="000000"/>
          <w:sz w:val="28"/>
          <w:lang w:val="uk-UA"/>
        </w:rPr>
        <w:t>Г</w:t>
      </w:r>
      <w:r w:rsidRPr="00B0699D">
        <w:rPr>
          <w:rFonts w:ascii="Times New Roman" w:hAnsi="Times New Roman"/>
          <w:noProof/>
          <w:color w:val="000000"/>
          <w:sz w:val="28"/>
          <w:lang w:val="uk-UA"/>
        </w:rPr>
        <w:t>етьманату склалася традиція,</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згідно</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з якою, на відміну, скажімо, від генеральних писарів, суддів чи осавулів, яких могло бути двоє чи навіть більше, посаду генерального обозного обіймав лише один урядовець. Щоправда, в разі тривалої відсутності генерального обозного в Україні й неможливості через це виконання ним своїх</w:t>
      </w:r>
      <w:r w:rsidR="003C741B"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функціональних обов'язків, вочевидь, практикувалося «наказничество». Принаймні, відомі на сьогодні історичні джерела фіксують під</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1663 р. факти титулування колишнього миргородського</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полковника Павла Животовського «наказним генеральним обозним», тоді як «повний» генеральний обозний Іван Цесарський очолював делегацію Війська Запорозького, відправлену гетьманом І. Брюховецьким до Москви</w:t>
      </w:r>
      <w:r w:rsidR="000A4F3D" w:rsidRPr="00B0699D">
        <w:rPr>
          <w:rFonts w:ascii="Times New Roman" w:hAnsi="Times New Roman"/>
          <w:noProof/>
          <w:color w:val="000000"/>
          <w:sz w:val="28"/>
          <w:lang w:val="uk-UA"/>
        </w:rPr>
        <w:t xml:space="preserve"> [19, 98]</w:t>
      </w:r>
      <w:r w:rsidRPr="00B0699D">
        <w:rPr>
          <w:rFonts w:ascii="Times New Roman" w:hAnsi="Times New Roman"/>
          <w:noProof/>
          <w:color w:val="000000"/>
          <w:sz w:val="28"/>
          <w:lang w:val="uk-UA"/>
        </w:rPr>
        <w:t>.</w:t>
      </w:r>
    </w:p>
    <w:p w:rsidR="00CF5AA1"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У роки Визвольної війни суттєво розширилися повноваження та, відповідно, зріс вплив генерального</w:t>
      </w:r>
      <w:r w:rsidR="003C741B"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обозного. Його функціональні обов'язки насамперед полягали в керуванні Генеральною військовою артилерією. Обозний мав не лише командувати артилерією під час бойових дій, а й організовувати її матеріальне забезпечення, формувати і подавати на затвердження гетьмана та генеральної старшини штат </w:t>
      </w:r>
      <w:r w:rsidR="00CF5AA1" w:rsidRPr="00B0699D">
        <w:rPr>
          <w:rFonts w:ascii="Times New Roman" w:hAnsi="Times New Roman"/>
          <w:noProof/>
          <w:color w:val="000000"/>
          <w:sz w:val="28"/>
          <w:lang w:val="uk-UA"/>
        </w:rPr>
        <w:t>Г</w:t>
      </w:r>
      <w:r w:rsidRPr="00B0699D">
        <w:rPr>
          <w:rFonts w:ascii="Times New Roman" w:hAnsi="Times New Roman"/>
          <w:noProof/>
          <w:color w:val="000000"/>
          <w:sz w:val="28"/>
          <w:lang w:val="uk-UA"/>
        </w:rPr>
        <w:t xml:space="preserve">енеральної військової артилерії </w:t>
      </w:r>
      <w:r w:rsidR="00CF5AA1"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осавула,</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хорунжого, писаря, пушкаря, гармашів та ін. На генерального обозного було покладено й таку важливу функцію, як ведення реєстру козацького війська.</w:t>
      </w:r>
      <w:r w:rsidR="00474E8E" w:rsidRPr="00B0699D">
        <w:rPr>
          <w:rFonts w:ascii="Times New Roman" w:hAnsi="Times New Roman"/>
          <w:noProof/>
          <w:color w:val="000000"/>
          <w:sz w:val="28"/>
          <w:lang w:val="uk-UA"/>
        </w:rPr>
        <w:t xml:space="preserve"> </w:t>
      </w:r>
    </w:p>
    <w:p w:rsidR="00AA74FF"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Надзвичайно важливу роль відігравали генеральні обозні під час проведення Генеральних рад. Зазвичай саме обозний виступав розпорядником таких зібрань, і саме він на виборчих радах подавав новообрано му гетьману знак його влади</w:t>
      </w:r>
      <w:r w:rsidR="00474E8E" w:rsidRPr="00B0699D">
        <w:rPr>
          <w:rFonts w:ascii="Times New Roman" w:hAnsi="Times New Roman"/>
          <w:noProof/>
          <w:color w:val="000000"/>
          <w:sz w:val="28"/>
          <w:lang w:val="uk-UA"/>
        </w:rPr>
        <w:t xml:space="preserve"> </w:t>
      </w:r>
      <w:r w:rsidR="00CF5AA1"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булаву [1</w:t>
      </w:r>
      <w:r w:rsidR="000A4F3D" w:rsidRPr="00B0699D">
        <w:rPr>
          <w:rFonts w:ascii="Times New Roman" w:hAnsi="Times New Roman"/>
          <w:noProof/>
          <w:color w:val="000000"/>
          <w:sz w:val="28"/>
          <w:lang w:val="uk-UA"/>
        </w:rPr>
        <w:t>4, 303</w:t>
      </w:r>
      <w:r w:rsidRPr="00B0699D">
        <w:rPr>
          <w:rFonts w:ascii="Times New Roman" w:hAnsi="Times New Roman"/>
          <w:noProof/>
          <w:color w:val="000000"/>
          <w:sz w:val="28"/>
          <w:lang w:val="uk-UA"/>
        </w:rPr>
        <w:t>]</w:t>
      </w:r>
      <w:r w:rsidR="00CF5AA1" w:rsidRPr="00B0699D">
        <w:rPr>
          <w:rFonts w:ascii="Times New Roman" w:hAnsi="Times New Roman"/>
          <w:noProof/>
          <w:color w:val="000000"/>
          <w:sz w:val="28"/>
          <w:lang w:val="uk-UA"/>
        </w:rPr>
        <w:t>.</w:t>
      </w:r>
    </w:p>
    <w:p w:rsidR="00AA74FF"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Приблизно таку саму роль, як генеральний</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обозний у військових справах, у цивільних відігравав генеральний писар. Адже саме він за своїми обов'язками стояв найближче до гетьмана і був найбільш посвячений у справи поточної внутрішньої та зовнішньої політики. Як правило, у Війську Запорозькому був один генеральний писар, але інколи й двоє. Саме двоє писарів було на початку Національно-визвольної війни і таку саму кількість регламентували</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«Переяславські</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статті» 1659 р., що містили вимогу «при гетьмані бути з обох боків Дніпра по </w:t>
      </w:r>
      <w:r w:rsidR="00C63A9C" w:rsidRPr="00B0699D">
        <w:rPr>
          <w:rFonts w:ascii="Times New Roman" w:hAnsi="Times New Roman"/>
          <w:noProof/>
          <w:color w:val="000000"/>
          <w:sz w:val="28"/>
          <w:lang w:val="uk-UA"/>
        </w:rPr>
        <w:t>1</w:t>
      </w:r>
      <w:r w:rsidRPr="00B0699D">
        <w:rPr>
          <w:rFonts w:ascii="Times New Roman" w:hAnsi="Times New Roman"/>
          <w:noProof/>
          <w:color w:val="000000"/>
          <w:sz w:val="28"/>
          <w:lang w:val="uk-UA"/>
        </w:rPr>
        <w:t xml:space="preserve"> судді, по осавулу і писарю» [1</w:t>
      </w:r>
      <w:r w:rsidR="000A4F3D" w:rsidRPr="00B0699D">
        <w:rPr>
          <w:rFonts w:ascii="Times New Roman" w:hAnsi="Times New Roman"/>
          <w:noProof/>
          <w:color w:val="000000"/>
          <w:sz w:val="28"/>
          <w:lang w:val="uk-UA"/>
        </w:rPr>
        <w:t>4, 303</w:t>
      </w:r>
      <w:r w:rsidRPr="00B0699D">
        <w:rPr>
          <w:rFonts w:ascii="Times New Roman" w:hAnsi="Times New Roman"/>
          <w:noProof/>
          <w:color w:val="000000"/>
          <w:sz w:val="28"/>
          <w:lang w:val="uk-UA"/>
        </w:rPr>
        <w:t>]. Після розпаду України на два Гетьманати втратило свою актуальність і це положення.</w:t>
      </w:r>
    </w:p>
    <w:p w:rsidR="00AA74FF"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На уряд</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генерального</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писаря обирали осіб, які мали певний канцелярський досвід. Наприклад, з-поміж 26 урядників, що впродовж середини </w:t>
      </w:r>
      <w:r w:rsidR="00C63A9C"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другої половини XVII ст. обіймали посаду генерального писаря Війська Запорозького, майже половина </w:t>
      </w:r>
      <w:r w:rsidR="00C63A9C"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12 </w:t>
      </w:r>
      <w:r w:rsidR="00C63A9C"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перед тим служили канцеляристами Генеральної військової канцелярії. Саме цей шлях службового зростання пройшли такі відомі козацькі адміністратори, впливові політичні й державні діячі, як Іван Груша, Остап Голуховський, Іван Ломиковський,</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Карпо Мокрієвич, Василь Кочубей та інші. </w:t>
      </w:r>
    </w:p>
    <w:p w:rsidR="00AA74FF"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За своїм становищем генеральний писар найближче з-поміж інших старшин стояв до керівництва зовнішньої політикою Української держави. Особливо великий вплив на напрями зовнішньополітичної діяльності держави мав генеральний писар гетьмана Б. Хмельницького Іван Виговський. За свідченнями сучасників, він «абсолютно всім рядить, не доповідаючи, </w:t>
      </w:r>
      <w:r w:rsidR="0032683C"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відправляє послів» [</w:t>
      </w:r>
      <w:r w:rsidR="000A4F3D" w:rsidRPr="00B0699D">
        <w:rPr>
          <w:rFonts w:ascii="Times New Roman" w:hAnsi="Times New Roman"/>
          <w:noProof/>
          <w:color w:val="000000"/>
          <w:sz w:val="28"/>
          <w:lang w:val="uk-UA"/>
        </w:rPr>
        <w:t>14, 304</w:t>
      </w:r>
      <w:r w:rsidRPr="00B0699D">
        <w:rPr>
          <w:rFonts w:ascii="Times New Roman" w:hAnsi="Times New Roman"/>
          <w:noProof/>
          <w:color w:val="000000"/>
          <w:sz w:val="28"/>
          <w:lang w:val="uk-UA"/>
        </w:rPr>
        <w:t>]. Винятковий особистий вплив Виговського на гетьмана (восени 1651 р. польський посол повідомляв у Варшаву, що «Виговський опанував серце і розум Хмельницького і керує ним, як батько сином») сприяв тому, що уряд генерального писаря набув надзвичайної ваги,</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й іноземні спостерігачі завжди називали «українського канцлера» другою, після гетьмана, за силою впливу особою Війська Запорозького. Щоправда, після смерті Хмельницького такий порядок не зберігся, і генеральний писар зрівнявся з іншими генеральними старшинами. Після складання обов'язків генерального писаря для адміністративної практики </w:t>
      </w:r>
      <w:r w:rsidR="0032683C" w:rsidRPr="00B0699D">
        <w:rPr>
          <w:rFonts w:ascii="Times New Roman" w:hAnsi="Times New Roman"/>
          <w:noProof/>
          <w:color w:val="000000"/>
          <w:sz w:val="28"/>
          <w:lang w:val="uk-UA"/>
        </w:rPr>
        <w:t>Г</w:t>
      </w:r>
      <w:r w:rsidRPr="00B0699D">
        <w:rPr>
          <w:rFonts w:ascii="Times New Roman" w:hAnsi="Times New Roman"/>
          <w:noProof/>
          <w:color w:val="000000"/>
          <w:sz w:val="28"/>
          <w:lang w:val="uk-UA"/>
        </w:rPr>
        <w:t xml:space="preserve">етьманату другої половини XVII ст. найтиповішим є переміщення на уряд генерального судді. </w:t>
      </w:r>
    </w:p>
    <w:p w:rsidR="00AA74FF"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Задовго до Національної революції середини XVII ст. у Війську Запорозькому існував і уряд військового судді. В Українській козацькій державі, як правило, було двоє генеральних суддів, хоч нерідко документи фіксують прізвище лише одного урядовця, що дозволяє гіпотетично стверджувати про поширеність і такого одноособового виконання повноважень. У тому ж випадку,</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коли генеральних суддів було двоє, один з них виступав «першим» («старшим»), а інший</w:t>
      </w:r>
      <w:r w:rsidR="00474E8E" w:rsidRPr="00B0699D">
        <w:rPr>
          <w:rFonts w:ascii="Times New Roman" w:hAnsi="Times New Roman"/>
          <w:noProof/>
          <w:color w:val="000000"/>
          <w:sz w:val="28"/>
          <w:lang w:val="uk-UA"/>
        </w:rPr>
        <w:t xml:space="preserve"> </w:t>
      </w:r>
      <w:r w:rsidR="000A4F3D"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«другим», тобто нижчим за своїм службовим рангом. Серед іншого, це відбивалося і на розмірах пожалувань, якими цар обдаровував козацьких старшин за певної нагоди.</w:t>
      </w:r>
    </w:p>
    <w:p w:rsidR="00C63A9C"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Аналіз персонального складу цієї групи вищих козацьких урядов</w:t>
      </w:r>
      <w:r w:rsidR="0032683C" w:rsidRPr="00B0699D">
        <w:rPr>
          <w:rFonts w:ascii="Times New Roman" w:hAnsi="Times New Roman"/>
          <w:noProof/>
          <w:color w:val="000000"/>
          <w:sz w:val="28"/>
          <w:lang w:val="uk-UA"/>
        </w:rPr>
        <w:t>ців переконує у тому, що на уряд призначали авторитетних та заслужених козаків, які перед тим посідали чільні місця в козацькій ієрархії</w:t>
      </w:r>
      <w:r w:rsidR="000A4F3D" w:rsidRPr="00B0699D">
        <w:rPr>
          <w:rFonts w:ascii="Times New Roman" w:hAnsi="Times New Roman"/>
          <w:noProof/>
          <w:color w:val="000000"/>
          <w:sz w:val="28"/>
          <w:lang w:val="uk-UA"/>
        </w:rPr>
        <w:t xml:space="preserve"> [6, 33]</w:t>
      </w:r>
      <w:r w:rsidR="0032683C" w:rsidRPr="00B0699D">
        <w:rPr>
          <w:rFonts w:ascii="Times New Roman" w:hAnsi="Times New Roman"/>
          <w:noProof/>
          <w:color w:val="000000"/>
          <w:sz w:val="28"/>
          <w:lang w:val="uk-UA"/>
        </w:rPr>
        <w:t>.</w:t>
      </w:r>
      <w:r w:rsidR="00474E8E" w:rsidRPr="00B0699D">
        <w:rPr>
          <w:rFonts w:ascii="Times New Roman" w:hAnsi="Times New Roman"/>
          <w:noProof/>
          <w:color w:val="000000"/>
          <w:sz w:val="28"/>
          <w:lang w:val="uk-UA"/>
        </w:rPr>
        <w:t xml:space="preserve"> </w:t>
      </w:r>
    </w:p>
    <w:p w:rsidR="00C63A9C" w:rsidRPr="00B0699D" w:rsidRDefault="00C63A9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Прямим обов'язком суддів був розгляд і винесення вироку по цивільних справах. Для вирішення карних справ скликали суддівську колегію –Генеральний військовий суд, в якому головував гетьман або один із генеральних суддів.</w:t>
      </w:r>
      <w:r w:rsidR="0032683C"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Досить поширеною була практика виїзних колегій </w:t>
      </w:r>
      <w:r w:rsidR="0032683C" w:rsidRPr="00B0699D">
        <w:rPr>
          <w:rFonts w:ascii="Times New Roman" w:hAnsi="Times New Roman"/>
          <w:noProof/>
          <w:color w:val="000000"/>
          <w:sz w:val="28"/>
          <w:lang w:val="uk-UA"/>
        </w:rPr>
        <w:t>Г</w:t>
      </w:r>
      <w:r w:rsidRPr="00B0699D">
        <w:rPr>
          <w:rFonts w:ascii="Times New Roman" w:hAnsi="Times New Roman"/>
          <w:noProof/>
          <w:color w:val="000000"/>
          <w:sz w:val="28"/>
          <w:lang w:val="uk-UA"/>
        </w:rPr>
        <w:t xml:space="preserve">енерального суду. </w:t>
      </w:r>
    </w:p>
    <w:p w:rsidR="00C63A9C" w:rsidRPr="00B0699D" w:rsidRDefault="00C63A9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Військовим клейнодом генеральних суддів була «комишина», або «ліска судейська чорна гибанова, просто в сребло оправная» [</w:t>
      </w:r>
      <w:r w:rsidR="000A4F3D" w:rsidRPr="00B0699D">
        <w:rPr>
          <w:rFonts w:ascii="Times New Roman" w:hAnsi="Times New Roman"/>
          <w:noProof/>
          <w:color w:val="000000"/>
          <w:sz w:val="28"/>
          <w:lang w:val="uk-UA"/>
        </w:rPr>
        <w:t>6, 34</w:t>
      </w:r>
      <w:r w:rsidRPr="00B0699D">
        <w:rPr>
          <w:rFonts w:ascii="Times New Roman" w:hAnsi="Times New Roman"/>
          <w:noProof/>
          <w:color w:val="000000"/>
          <w:sz w:val="28"/>
          <w:lang w:val="uk-UA"/>
        </w:rPr>
        <w:t xml:space="preserve">], атрибутом влади </w:t>
      </w:r>
      <w:r w:rsidR="0032683C"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також печатка військова суддівська, необхідна «для запечатованія</w:t>
      </w:r>
      <w:r w:rsidR="0032683C"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укончон</w:t>
      </w:r>
      <w:r w:rsidR="0032683C" w:rsidRPr="00B0699D">
        <w:rPr>
          <w:rFonts w:ascii="Times New Roman" w:hAnsi="Times New Roman"/>
          <w:noProof/>
          <w:color w:val="000000"/>
          <w:sz w:val="28"/>
          <w:lang w:val="uk-UA"/>
        </w:rPr>
        <w:t>ы</w:t>
      </w:r>
      <w:r w:rsidRPr="00B0699D">
        <w:rPr>
          <w:rFonts w:ascii="Times New Roman" w:hAnsi="Times New Roman"/>
          <w:noProof/>
          <w:color w:val="000000"/>
          <w:sz w:val="28"/>
          <w:lang w:val="uk-UA"/>
        </w:rPr>
        <w:t>х... справ» [</w:t>
      </w:r>
      <w:r w:rsidR="000A4F3D" w:rsidRPr="00B0699D">
        <w:rPr>
          <w:rFonts w:ascii="Times New Roman" w:hAnsi="Times New Roman"/>
          <w:noProof/>
          <w:color w:val="000000"/>
          <w:sz w:val="28"/>
          <w:lang w:val="uk-UA"/>
        </w:rPr>
        <w:t>6, 34</w:t>
      </w:r>
      <w:r w:rsidRPr="00B0699D">
        <w:rPr>
          <w:rFonts w:ascii="Times New Roman" w:hAnsi="Times New Roman"/>
          <w:noProof/>
          <w:color w:val="000000"/>
          <w:sz w:val="28"/>
          <w:lang w:val="uk-UA"/>
        </w:rPr>
        <w:t>].</w:t>
      </w:r>
    </w:p>
    <w:p w:rsidR="00C63A9C" w:rsidRPr="00B0699D" w:rsidRDefault="00C63A9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Як і для решти генеральних старшин, діяльність генеральних суддів не обмежувалася виконанням лише їхніх прямих функціональних обов'язків. Часто-густо вони виконували різноманітні доручення гетьмана, наприклад, очолювали посольства до чужих країн</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(зокрема,</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генеральний</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суддя С. Богданович-Зарудний </w:t>
      </w:r>
      <w:r w:rsidR="0032683C"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посольства до Москви в 1652 та 1654 рр.). Хоча діяльність військового характеру була досить далекою від функцій генеральних суддів, проте вони все ж брали в ній активну участь. Зокрема, функції наказного гетьмана в походах у різний час виконували генеральні судді А. Жданович, І. Самойлович та П. Животовський. </w:t>
      </w:r>
    </w:p>
    <w:p w:rsidR="00A462B1"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Про генерального підскарбія перші звістки доходять із часів гетьманування Б. Хмельницького. До функціональних обов'язків генерального підскарбія належали питання, пов'язані з обкладанням і збиранням податків, організацією зберігання натуральних зборів. Він визначав дозорців по полках, встановлював терміни сплати податків, контролював їх надходження до </w:t>
      </w:r>
      <w:r w:rsidR="00A462B1" w:rsidRPr="00B0699D">
        <w:rPr>
          <w:rFonts w:ascii="Times New Roman" w:hAnsi="Times New Roman"/>
          <w:noProof/>
          <w:color w:val="000000"/>
          <w:sz w:val="28"/>
          <w:lang w:val="uk-UA"/>
        </w:rPr>
        <w:t>Г</w:t>
      </w:r>
      <w:r w:rsidRPr="00B0699D">
        <w:rPr>
          <w:rFonts w:ascii="Times New Roman" w:hAnsi="Times New Roman"/>
          <w:noProof/>
          <w:color w:val="000000"/>
          <w:sz w:val="28"/>
          <w:lang w:val="uk-UA"/>
        </w:rPr>
        <w:t>енерального військового скарбу.</w:t>
      </w:r>
    </w:p>
    <w:p w:rsidR="00AA74FF"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Зважаючи на те, що найприбут</w:t>
      </w:r>
      <w:r w:rsidR="00A462B1" w:rsidRPr="00B0699D">
        <w:rPr>
          <w:rFonts w:ascii="Times New Roman" w:hAnsi="Times New Roman"/>
          <w:noProof/>
          <w:color w:val="000000"/>
          <w:sz w:val="28"/>
          <w:lang w:val="uk-UA"/>
        </w:rPr>
        <w:t>к</w:t>
      </w:r>
      <w:r w:rsidRPr="00B0699D">
        <w:rPr>
          <w:rFonts w:ascii="Times New Roman" w:hAnsi="Times New Roman"/>
          <w:noProof/>
          <w:color w:val="000000"/>
          <w:sz w:val="28"/>
          <w:lang w:val="uk-UA"/>
        </w:rPr>
        <w:t>овішими були збори з млинів, генеральний підскарбій саме цьому промислу приділяв найбільшу увагу. До його прерогативи належало право видачі дозволу на побудову нових млинів, контролю за дотриманням правил їх користування.</w:t>
      </w:r>
    </w:p>
    <w:p w:rsidR="00AA74FF"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Охарактеризовані вище інститути генеральних старшин, а саме: генеральних обозного, писаря, судді, а в пізніше </w:t>
      </w:r>
      <w:r w:rsidR="00A462B1"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і підскарбія, дослідники зараховують до складу «вищої» групи гетьманського уряду. Відповідно до «нижчої» генеральної старшини належали генеральні осавули, хорунжий та бунчужний.</w:t>
      </w:r>
    </w:p>
    <w:p w:rsidR="00A462B1" w:rsidRPr="00B0699D" w:rsidRDefault="00A462B1"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Уряд осавулів, яких завжди у Війську Запорозькому було двоє, існував на Запорожжі з кінця XVI -початку XVII ст. З початком революції генеральні осавули входять до складу генеральної старшини, і так само, як і генеральний обозний, найтісніше пов'язуються з військовими справами. Набагато частіше, ніж іншу генеральну старшину, осавулів призначали командирами окремих частин козацького війська. Зокрема, відомо, що впродовж другої половини XVII ст. з числа генеральних осавулів наказними гетьманами призначалися: Демко Лісовець (двічі), Василь Томиленко, Іван Скоробагатько, Іван Богун (двічі), Парфен Нужний, Артем Мартинович, Демко Пиляй, Яків Кіндратович Лизогуб, Тиміш Шуліка (двічі), Матвій Гвинтовка (двічі), Іван Лисенко (двічі)</w:t>
      </w:r>
      <w:r w:rsidR="000A4F3D" w:rsidRPr="00B0699D">
        <w:rPr>
          <w:rFonts w:ascii="Times New Roman" w:hAnsi="Times New Roman"/>
          <w:noProof/>
          <w:color w:val="000000"/>
          <w:sz w:val="28"/>
          <w:lang w:val="uk-UA"/>
        </w:rPr>
        <w:t xml:space="preserve"> [6, 35]</w:t>
      </w:r>
      <w:r w:rsidRPr="00B0699D">
        <w:rPr>
          <w:rFonts w:ascii="Times New Roman" w:hAnsi="Times New Roman"/>
          <w:noProof/>
          <w:color w:val="000000"/>
          <w:sz w:val="28"/>
          <w:lang w:val="uk-UA"/>
        </w:rPr>
        <w:t>.</w:t>
      </w:r>
    </w:p>
    <w:p w:rsidR="00A462B1" w:rsidRPr="00B0699D" w:rsidRDefault="00A462B1"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Під час військових походів, в яких генеральний осавул не виступав як наказний гетьман, він відповідав за організацію караульної служби. В мирний час генеральний осавул частіше за інших генеральних старшин виконує різного роду поліцейські функції, проводить судові розслідування та приведення до виконання вироків Генерального військового суду. Активно залучалися генеральні осавули й до виконання дипломатичних місій. Досить політичною була їхня роль під час проведення Генеральних рад, на яких вони виступали як розпорядники.</w:t>
      </w:r>
    </w:p>
    <w:p w:rsidR="00AA74FF" w:rsidRPr="00B0699D" w:rsidRDefault="00A462B1"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Н</w:t>
      </w:r>
      <w:r w:rsidR="00AA74FF" w:rsidRPr="00B0699D">
        <w:rPr>
          <w:rFonts w:ascii="Times New Roman" w:hAnsi="Times New Roman"/>
          <w:noProof/>
          <w:color w:val="000000"/>
          <w:sz w:val="28"/>
          <w:lang w:val="uk-UA"/>
        </w:rPr>
        <w:t xml:space="preserve">а відміну від першої групи генеральної старшини, бунчужний і хорунжий мали надзвичайно вузьке коло чітко окреслених функціональних обов'язків. Із формального боку функції генерального хорунжого полягали в охороні військової корогви (стягу), а бунчужного </w:t>
      </w:r>
      <w:r w:rsidRPr="00B0699D">
        <w:rPr>
          <w:rFonts w:ascii="Times New Roman" w:hAnsi="Times New Roman"/>
          <w:noProof/>
          <w:color w:val="000000"/>
          <w:sz w:val="28"/>
          <w:lang w:val="uk-UA"/>
        </w:rPr>
        <w:t>–</w:t>
      </w:r>
      <w:r w:rsidR="00AA74FF" w:rsidRPr="00B0699D">
        <w:rPr>
          <w:rFonts w:ascii="Times New Roman" w:hAnsi="Times New Roman"/>
          <w:noProof/>
          <w:color w:val="000000"/>
          <w:sz w:val="28"/>
          <w:lang w:val="uk-UA"/>
        </w:rPr>
        <w:t>гетьманського бунчука, які в урочисті моменти виносилися перед козацьким військом. Уряди генеральних бунчужного та хорунжого з'явилися в середині XVII ст. і тривалий час існували як посади двірські, а не військові. Але згодом, навіть після того, як вони закріпилися серед урядів генеральних, особи, що їх обіймали, й надалі були зобов'язані «находиться при гетмані перемєно для порученія им случающихся діл и приказов... как сія должность... точного преписанія не імєит» [</w:t>
      </w:r>
      <w:r w:rsidR="000A4F3D" w:rsidRPr="00B0699D">
        <w:rPr>
          <w:rFonts w:ascii="Times New Roman" w:hAnsi="Times New Roman"/>
          <w:noProof/>
          <w:color w:val="000000"/>
          <w:sz w:val="28"/>
          <w:lang w:val="uk-UA"/>
        </w:rPr>
        <w:t>14, 305</w:t>
      </w:r>
      <w:r w:rsidR="00AA74FF" w:rsidRPr="00B0699D">
        <w:rPr>
          <w:rFonts w:ascii="Times New Roman" w:hAnsi="Times New Roman"/>
          <w:noProof/>
          <w:color w:val="000000"/>
          <w:sz w:val="28"/>
          <w:lang w:val="uk-UA"/>
        </w:rPr>
        <w:t>].</w:t>
      </w:r>
    </w:p>
    <w:p w:rsidR="00AA74FF"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Близькими до функцій генерального осавула були обов'язки генерального бунчужного і генерального хорунжого. Як і осавулам, їм також нерідко доручають командувати окремими військовими командами та підрозділами, проводити судові розслідування, засідати у Генеральному військовому суді, бути присутніми при виконанні судових вироків. Крім того, практикувалось і залучення генеральних бунчужних та хорунжих до виконання різноманітних дипломатичних доручень (хоч випадки виконання ними важливих дипломатичних завдань чи керування повноважними посольствами до іноземних правителів не були типовими).</w:t>
      </w:r>
    </w:p>
    <w:p w:rsidR="00AA74FF"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Загалом же, з наявного у джерелах фактичного матеріалу випливає, що як генеральний бунчужний, так і генеральний хорунжий не були надто прив'язані до виконання чітко обумовлених функціональних обов'язків, як це мало місце у випадку з іншими генеральними старшинами.</w:t>
      </w:r>
    </w:p>
    <w:p w:rsidR="00AA74FF"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Поява цієї категорії вищих козацьких</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урядників</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була</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пов'язана</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з ускладненням функцій гетьманського проводу в умовах стрімкого еволюціонування козацької державності середини XVII ст. Тривалий час ієрархічно як бунчужний, так і хорунжий не входили до складу генеральних старшин, це були посади гетьманські або двірські. Свідченням доволі невисокого соціального статусу «гетьманського бунчужного» може слугувати розмір річної платні, передбаченої угодою з російським царем 1654 р. </w:t>
      </w:r>
      <w:r w:rsidR="00A462B1"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на рік 50 польських злотих, тобто так само, як полковим писареві чи хорунжому. Натомість генеральний суддя отримував ушестеро, а генеральний осавул увосьмеро більше грішми та, крім того, мав право на користування прибутками з одного млина. Грошова платня полкового осавула перевищувала учетверо (не беручи до уваги прибутків з млина), а платня сотника чи писаря Генерального військового суду вдвічі платню гетьманського бунчужного.</w:t>
      </w:r>
    </w:p>
    <w:p w:rsidR="00AA74FF"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В ієрархічній драбині Війська Запорозького аж до початку XVIII ст. уряд генерального хорунжого все ж стояв нижче за уряд генерального бунчужного. Причини такого становища дослідники вбачають передовсім в особистості вельми енергійного старшини, до того ж родича гетьмана І. Самойловича, майбутнього генерального осавула і полковника переяславського Леонтія Полуботка, котрий, упродовж 1672-1677 рр. обіймаючи уряд генерального бунчужного, неодноразово призначався наказним гетьманом та виконував важливі доручення гетьманського проводу. Проте, </w:t>
      </w:r>
      <w:r w:rsidR="00A462B1" w:rsidRPr="00B0699D">
        <w:rPr>
          <w:rFonts w:ascii="Times New Roman" w:hAnsi="Times New Roman"/>
          <w:noProof/>
          <w:color w:val="000000"/>
          <w:sz w:val="28"/>
          <w:lang w:val="uk-UA"/>
        </w:rPr>
        <w:t>на думку Горобця В.М.,</w:t>
      </w:r>
      <w:r w:rsidRPr="00B0699D">
        <w:rPr>
          <w:rFonts w:ascii="Times New Roman" w:hAnsi="Times New Roman"/>
          <w:noProof/>
          <w:color w:val="000000"/>
          <w:sz w:val="28"/>
          <w:lang w:val="uk-UA"/>
        </w:rPr>
        <w:t xml:space="preserve"> ієрархічна перевага генерального бунчужного над генеральним хорунжим простежувалась і в попередні десятиліття, коли хорунжі взагалі не потрапляли до переліку старшин, яким була передбачена грошова платня</w:t>
      </w:r>
      <w:r w:rsidR="000A4F3D" w:rsidRPr="00B0699D">
        <w:rPr>
          <w:rFonts w:ascii="Times New Roman" w:hAnsi="Times New Roman"/>
          <w:noProof/>
          <w:color w:val="000000"/>
          <w:sz w:val="28"/>
          <w:lang w:val="uk-UA"/>
        </w:rPr>
        <w:t xml:space="preserve"> [14, 305]</w:t>
      </w:r>
      <w:r w:rsidRPr="00B0699D">
        <w:rPr>
          <w:rFonts w:ascii="Times New Roman" w:hAnsi="Times New Roman"/>
          <w:noProof/>
          <w:color w:val="000000"/>
          <w:sz w:val="28"/>
          <w:lang w:val="uk-UA"/>
        </w:rPr>
        <w:t>. Крім того, навіть згадки про них у джерелах зустрічаються набагато рідше, аніж про генеральних чи військових бунчужних.</w:t>
      </w:r>
    </w:p>
    <w:p w:rsidR="00AA74FF"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Перебування на уряді генерального бунчужного слугувало своєрідним трампліном для успішного просування службовою драбиною Війська Запорозького. Зазвичай бунчужним призначали козаків, що перед тим перебували на не надто високих посадах полкової чи сотенної старшини</w:t>
      </w:r>
      <w:r w:rsidR="00A462B1" w:rsidRPr="00B0699D">
        <w:rPr>
          <w:rFonts w:ascii="Times New Roman" w:hAnsi="Times New Roman"/>
          <w:noProof/>
          <w:color w:val="000000"/>
          <w:sz w:val="28"/>
          <w:lang w:val="uk-UA"/>
        </w:rPr>
        <w:t>.</w:t>
      </w:r>
    </w:p>
    <w:p w:rsidR="00AA74FF"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Щодо ж статусу самого інституту генеральних бунчужних у службовій ієрархії Гетьманату, то з кінця XVIII ст. відбувається його пониження порівняно з інститутом генеральних хорунжих. Свідченням цього є вже хоч би те, що в цей час стратегія службового зростання генеральних старшин передбачає переміщення з уряду генерального бунчужного</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на</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уряд</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генерального</w:t>
      </w:r>
      <w:r w:rsidR="00A462B1"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хорунжого, а не навпаки. </w:t>
      </w:r>
    </w:p>
    <w:p w:rsidR="00AA74FF" w:rsidRPr="00B0699D" w:rsidRDefault="00AA74FF"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Протягом другої половини Х</w:t>
      </w:r>
      <w:r w:rsidR="004D38D0" w:rsidRPr="00B0699D">
        <w:rPr>
          <w:rFonts w:ascii="Times New Roman" w:hAnsi="Times New Roman"/>
          <w:noProof/>
          <w:color w:val="000000"/>
          <w:sz w:val="28"/>
          <w:lang w:val="uk-UA"/>
        </w:rPr>
        <w:t>VII</w:t>
      </w:r>
      <w:r w:rsidRPr="00B0699D">
        <w:rPr>
          <w:rFonts w:ascii="Times New Roman" w:hAnsi="Times New Roman"/>
          <w:noProof/>
          <w:color w:val="000000"/>
          <w:sz w:val="28"/>
          <w:lang w:val="uk-UA"/>
        </w:rPr>
        <w:t xml:space="preserve"> ст. існувало три способи сходження на старшинські уряди, а саме: через обрання на Генеральній або Старшинській раді та гетьманське призначення. З формального боку, за традиціями Січі, під час нових гетьманських виборів весь склад генеральної старшини йшов у відставку. Однак, як свідчить історичний матеріал, здебільшого генеральні старшини зберігали за собою свої посади. Владу втрачали тільки ті з них, хто скомпрометував себе в очах російської влади або надто тісно був пов'язаний із попереднім, уже скинутим з гетьманства правителем. Зокрема,</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кардинальна зміна корпусу генеральної старшини відбулася на виборчій раді 1659 р., коли до складу гетьманського уряду Ю. Хмельницького увійшли одразу два нових генеральних судді, два писарі та осавул [</w:t>
      </w:r>
      <w:r w:rsidR="000A4F3D" w:rsidRPr="00B0699D">
        <w:rPr>
          <w:rFonts w:ascii="Times New Roman" w:hAnsi="Times New Roman"/>
          <w:noProof/>
          <w:color w:val="000000"/>
          <w:sz w:val="28"/>
          <w:lang w:val="uk-UA"/>
        </w:rPr>
        <w:t>9, 48</w:t>
      </w:r>
      <w:r w:rsidRPr="00B0699D">
        <w:rPr>
          <w:rFonts w:ascii="Times New Roman" w:hAnsi="Times New Roman"/>
          <w:noProof/>
          <w:color w:val="000000"/>
          <w:sz w:val="28"/>
          <w:lang w:val="uk-UA"/>
        </w:rPr>
        <w:t>].</w:t>
      </w:r>
    </w:p>
    <w:p w:rsidR="003C741B" w:rsidRPr="00B0699D" w:rsidRDefault="003C741B"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Таким чином, найближчим до гетьмана в ієрархічній побудові козацької адміністрації стояв генеральний обозний. В його функціональні обов’язки входило керування Генеральною військовою артилерією, органызацыя її матеріального забезпечення та формування складу військової старшини Генеральної військової артилерії — осавула, хорунжого, писаря, пушкарів та гармашів. На генерального обозного також покладалося завдання ведення компуту — реєстру козацького війська. </w:t>
      </w:r>
    </w:p>
    <w:p w:rsidR="003C741B" w:rsidRPr="00B0699D" w:rsidRDefault="003C741B"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При вирішенні цивільних справ надзвичайно важливу роль відігравав генеральний писар. Він, як правило, не втручався у справи військові, але був найбільше посвячений у проблеми внутрішньої та зовнішньої політики. </w:t>
      </w:r>
    </w:p>
    <w:p w:rsidR="003C741B" w:rsidRPr="00B0699D" w:rsidRDefault="003C741B"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Уряд генерального судді, як правило, посідали дві особи. Прямим їхнім обов’язком був розгляд і винесення вироку з цивільних справ. Для вирішення карних справ скликалася суддівська колегія — Генеральний військовий суд, в якому головував гетьман, або однин з генеральних суддів.</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Керівництво фінансовою сферою держави перебувало в розпорядженні генерального підскарбія. До його компетенції входило визначення порядку встановлення і збору податків,органызація зберігання натуральних припасів, призначенням митарів у полках. </w:t>
      </w:r>
    </w:p>
    <w:p w:rsidR="003C741B" w:rsidRPr="00B0699D" w:rsidRDefault="003C741B"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До складу нижчої входили генеральні осавули, хорунжі та бунчужні. На відміну від перших, формальне коло їхніх службових повноважень було значно вужчим. Так, формально завдання генерального хорунжого полягало в охороні військової корогви (стягу), а бунчужного — гетьманського бунчука, які в урочисті моменти виносилися перед військом, але на практиці її доручалося й виконання важливих політичних, дипломатичних та військових місій. Вони їздили на чолі посольств, командували окремими військовими підрозділами, проводили судові розслідування та засідали в Генеральному військовому суді. </w:t>
      </w:r>
    </w:p>
    <w:p w:rsidR="004F5FA4" w:rsidRPr="00B0699D" w:rsidRDefault="00F75BF6" w:rsidP="00474E8E">
      <w:pPr>
        <w:spacing w:after="0" w:line="360" w:lineRule="auto"/>
        <w:ind w:firstLine="709"/>
        <w:jc w:val="both"/>
        <w:rPr>
          <w:rFonts w:ascii="Times New Roman" w:hAnsi="Times New Roman"/>
          <w:noProof/>
          <w:color w:val="000000"/>
          <w:sz w:val="28"/>
          <w:lang w:val="uk-UA"/>
        </w:rPr>
      </w:pPr>
      <w:bookmarkStart w:id="6" w:name="_Toc228346840"/>
      <w:r w:rsidRPr="00B0699D">
        <w:rPr>
          <w:rFonts w:ascii="Times New Roman" w:hAnsi="Times New Roman"/>
          <w:noProof/>
          <w:color w:val="000000"/>
          <w:sz w:val="28"/>
          <w:lang w:val="uk-UA"/>
        </w:rPr>
        <w:br w:type="page"/>
      </w:r>
      <w:r w:rsidR="004D38D0" w:rsidRPr="00B0699D">
        <w:rPr>
          <w:rFonts w:ascii="Times New Roman" w:hAnsi="Times New Roman"/>
          <w:noProof/>
          <w:color w:val="000000"/>
          <w:sz w:val="28"/>
          <w:lang w:val="uk-UA"/>
        </w:rPr>
        <w:t xml:space="preserve">Розділ 2. Структура </w:t>
      </w:r>
      <w:r w:rsidR="0024147C" w:rsidRPr="00B0699D">
        <w:rPr>
          <w:rFonts w:ascii="Times New Roman" w:hAnsi="Times New Roman"/>
          <w:noProof/>
          <w:color w:val="000000"/>
          <w:sz w:val="28"/>
          <w:lang w:val="uk-UA"/>
        </w:rPr>
        <w:t>адміністративного поділу та</w:t>
      </w:r>
      <w:r w:rsidR="004D38D0" w:rsidRPr="00B0699D">
        <w:rPr>
          <w:rFonts w:ascii="Times New Roman" w:hAnsi="Times New Roman"/>
          <w:noProof/>
          <w:color w:val="000000"/>
          <w:sz w:val="28"/>
          <w:lang w:val="uk-UA"/>
        </w:rPr>
        <w:t xml:space="preserve"> судова і виконавча влада Української козацької держави у XVII ст.</w:t>
      </w:r>
      <w:bookmarkEnd w:id="6"/>
    </w:p>
    <w:p w:rsidR="00F75BF6" w:rsidRPr="00B0699D" w:rsidRDefault="00F75BF6" w:rsidP="00474E8E">
      <w:pPr>
        <w:spacing w:after="0" w:line="360" w:lineRule="auto"/>
        <w:ind w:firstLine="709"/>
        <w:jc w:val="both"/>
        <w:rPr>
          <w:rFonts w:ascii="Times New Roman" w:hAnsi="Times New Roman"/>
          <w:noProof/>
          <w:color w:val="000000"/>
          <w:sz w:val="28"/>
          <w:lang w:val="uk-UA"/>
        </w:rPr>
      </w:pPr>
      <w:bookmarkStart w:id="7" w:name="_Toc228346841"/>
    </w:p>
    <w:p w:rsidR="0024147C" w:rsidRPr="00B0699D" w:rsidRDefault="00F75BF6"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2.1 </w:t>
      </w:r>
      <w:r w:rsidR="0024147C" w:rsidRPr="00B0699D">
        <w:rPr>
          <w:rFonts w:ascii="Times New Roman" w:hAnsi="Times New Roman"/>
          <w:noProof/>
          <w:color w:val="000000"/>
          <w:sz w:val="28"/>
          <w:lang w:val="uk-UA"/>
        </w:rPr>
        <w:t>Структура полкового та сотенного управління</w:t>
      </w:r>
      <w:bookmarkEnd w:id="7"/>
    </w:p>
    <w:p w:rsidR="00F75BF6" w:rsidRPr="00B0699D" w:rsidRDefault="00F75BF6" w:rsidP="00474E8E">
      <w:pPr>
        <w:spacing w:after="0" w:line="360" w:lineRule="auto"/>
        <w:ind w:firstLine="709"/>
        <w:jc w:val="both"/>
        <w:rPr>
          <w:rFonts w:ascii="Times New Roman" w:hAnsi="Times New Roman"/>
          <w:noProof/>
          <w:color w:val="000000"/>
          <w:sz w:val="28"/>
          <w:lang w:val="uk-UA"/>
        </w:rPr>
      </w:pPr>
    </w:p>
    <w:p w:rsidR="004D38D0" w:rsidRPr="00B0699D" w:rsidRDefault="0024147C"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А</w:t>
      </w:r>
      <w:r w:rsidR="004D38D0" w:rsidRPr="00B0699D">
        <w:rPr>
          <w:rFonts w:ascii="Times New Roman" w:hAnsi="Times New Roman"/>
          <w:noProof/>
          <w:color w:val="000000"/>
          <w:sz w:val="28"/>
          <w:lang w:val="uk-UA"/>
        </w:rPr>
        <w:t>дміністративний поділ Української козацько-гетьманської держави дублював структуру війська: територіальні одиниці відповідали ієрархії бойових підрозділів, забезпечуючи максимально швидку мобілізацію козацького стану. Політико-адміністративна система Війська Запорозького не була козацьким новотвором, оскільки територіальний поділ середньовічного суспільства, зазвичай, скрізь відповідав потребам оперативної мобілізації збройного люду. Новаційний же підхід уряду Б. Хмельницького при закладенні нової адміністративної структури українських земель полягав у тому, що козацькі полки і сотні мали значно менші території, ніж воєводства і повіти Речі Посполитої, а тому й</w:t>
      </w:r>
      <w:r w:rsidR="00474E8E" w:rsidRPr="00B0699D">
        <w:rPr>
          <w:rFonts w:ascii="Times New Roman" w:hAnsi="Times New Roman"/>
          <w:noProof/>
          <w:color w:val="000000"/>
          <w:sz w:val="28"/>
          <w:lang w:val="uk-UA"/>
        </w:rPr>
        <w:t xml:space="preserve"> </w:t>
      </w:r>
      <w:r w:rsidR="004D38D0" w:rsidRPr="00B0699D">
        <w:rPr>
          <w:rFonts w:ascii="Times New Roman" w:hAnsi="Times New Roman"/>
          <w:noProof/>
          <w:color w:val="000000"/>
          <w:sz w:val="28"/>
          <w:lang w:val="uk-UA"/>
        </w:rPr>
        <w:t>адміністративним органам було легше ними управляти. Перевагою нової адміністративної мережі стало те, що накази з Чигирина швидко доходили до місцевих урядників. При становленні полково-сотенного устрою Української козацької держави використовувався досвід функціонування реєстрових козацьких полків,</w:t>
      </w:r>
      <w:r w:rsidR="00474E8E" w:rsidRPr="00B0699D">
        <w:rPr>
          <w:rFonts w:ascii="Times New Roman" w:hAnsi="Times New Roman"/>
          <w:noProof/>
          <w:color w:val="000000"/>
          <w:sz w:val="28"/>
          <w:lang w:val="uk-UA"/>
        </w:rPr>
        <w:t xml:space="preserve"> </w:t>
      </w:r>
      <w:r w:rsidR="004D38D0" w:rsidRPr="00B0699D">
        <w:rPr>
          <w:rFonts w:ascii="Times New Roman" w:hAnsi="Times New Roman"/>
          <w:noProof/>
          <w:color w:val="000000"/>
          <w:sz w:val="28"/>
          <w:lang w:val="uk-UA"/>
        </w:rPr>
        <w:t>формування яких</w:t>
      </w:r>
      <w:r w:rsidR="00474E8E" w:rsidRPr="00B0699D">
        <w:rPr>
          <w:rFonts w:ascii="Times New Roman" w:hAnsi="Times New Roman"/>
          <w:noProof/>
          <w:color w:val="000000"/>
          <w:sz w:val="28"/>
          <w:lang w:val="uk-UA"/>
        </w:rPr>
        <w:t xml:space="preserve"> </w:t>
      </w:r>
      <w:r w:rsidR="004D38D0" w:rsidRPr="00B0699D">
        <w:rPr>
          <w:rFonts w:ascii="Times New Roman" w:hAnsi="Times New Roman"/>
          <w:noProof/>
          <w:color w:val="000000"/>
          <w:sz w:val="28"/>
          <w:lang w:val="uk-UA"/>
        </w:rPr>
        <w:t>розпочалося</w:t>
      </w:r>
      <w:r w:rsidR="00474E8E" w:rsidRPr="00B0699D">
        <w:rPr>
          <w:rFonts w:ascii="Times New Roman" w:hAnsi="Times New Roman"/>
          <w:noProof/>
          <w:color w:val="000000"/>
          <w:sz w:val="28"/>
          <w:lang w:val="uk-UA"/>
        </w:rPr>
        <w:t xml:space="preserve"> </w:t>
      </w:r>
      <w:r w:rsidR="004D38D0" w:rsidRPr="00B0699D">
        <w:rPr>
          <w:rFonts w:ascii="Times New Roman" w:hAnsi="Times New Roman"/>
          <w:noProof/>
          <w:color w:val="000000"/>
          <w:sz w:val="28"/>
          <w:lang w:val="uk-UA"/>
        </w:rPr>
        <w:t>ще</w:t>
      </w:r>
      <w:r w:rsidR="00474E8E" w:rsidRPr="00B0699D">
        <w:rPr>
          <w:rFonts w:ascii="Times New Roman" w:hAnsi="Times New Roman"/>
          <w:noProof/>
          <w:color w:val="000000"/>
          <w:sz w:val="28"/>
          <w:lang w:val="uk-UA"/>
        </w:rPr>
        <w:t xml:space="preserve"> </w:t>
      </w:r>
      <w:r w:rsidR="004D38D0" w:rsidRPr="00B0699D">
        <w:rPr>
          <w:rFonts w:ascii="Times New Roman" w:hAnsi="Times New Roman"/>
          <w:noProof/>
          <w:color w:val="000000"/>
          <w:sz w:val="28"/>
          <w:lang w:val="uk-UA"/>
        </w:rPr>
        <w:t>на</w:t>
      </w:r>
      <w:r w:rsidR="00474E8E" w:rsidRPr="00B0699D">
        <w:rPr>
          <w:rFonts w:ascii="Times New Roman" w:hAnsi="Times New Roman"/>
          <w:noProof/>
          <w:color w:val="000000"/>
          <w:sz w:val="28"/>
          <w:lang w:val="uk-UA"/>
        </w:rPr>
        <w:t xml:space="preserve"> </w:t>
      </w:r>
      <w:r w:rsidR="004D38D0" w:rsidRPr="00B0699D">
        <w:rPr>
          <w:rFonts w:ascii="Times New Roman" w:hAnsi="Times New Roman"/>
          <w:noProof/>
          <w:color w:val="000000"/>
          <w:sz w:val="28"/>
          <w:lang w:val="uk-UA"/>
        </w:rPr>
        <w:t>початку XVII ст., а на переломі 1625-1626 рр., під час складання гетьманом Михайлом Дорошенком козацького реєстру, було зафіксовано 6 військово-територіальних одиниць з центрами в Чигирині, Білій</w:t>
      </w:r>
      <w:r w:rsidR="00474E8E" w:rsidRPr="00B0699D">
        <w:rPr>
          <w:rFonts w:ascii="Times New Roman" w:hAnsi="Times New Roman"/>
          <w:noProof/>
          <w:color w:val="000000"/>
          <w:sz w:val="28"/>
          <w:lang w:val="uk-UA"/>
        </w:rPr>
        <w:t xml:space="preserve"> </w:t>
      </w:r>
      <w:r w:rsidR="004D38D0" w:rsidRPr="00B0699D">
        <w:rPr>
          <w:rFonts w:ascii="Times New Roman" w:hAnsi="Times New Roman"/>
          <w:noProof/>
          <w:color w:val="000000"/>
          <w:sz w:val="28"/>
          <w:lang w:val="uk-UA"/>
        </w:rPr>
        <w:t>Церкві,</w:t>
      </w:r>
      <w:r w:rsidR="00474E8E" w:rsidRPr="00B0699D">
        <w:rPr>
          <w:rFonts w:ascii="Times New Roman" w:hAnsi="Times New Roman"/>
          <w:noProof/>
          <w:color w:val="000000"/>
          <w:sz w:val="28"/>
          <w:lang w:val="uk-UA"/>
        </w:rPr>
        <w:t xml:space="preserve"> </w:t>
      </w:r>
      <w:r w:rsidR="004D38D0" w:rsidRPr="00B0699D">
        <w:rPr>
          <w:rFonts w:ascii="Times New Roman" w:hAnsi="Times New Roman"/>
          <w:noProof/>
          <w:color w:val="000000"/>
          <w:sz w:val="28"/>
          <w:lang w:val="uk-UA"/>
        </w:rPr>
        <w:t>Переяславі,</w:t>
      </w:r>
      <w:r w:rsidR="00474E8E" w:rsidRPr="00B0699D">
        <w:rPr>
          <w:rFonts w:ascii="Times New Roman" w:hAnsi="Times New Roman"/>
          <w:noProof/>
          <w:color w:val="000000"/>
          <w:sz w:val="28"/>
          <w:lang w:val="uk-UA"/>
        </w:rPr>
        <w:t xml:space="preserve"> </w:t>
      </w:r>
      <w:r w:rsidR="004D38D0" w:rsidRPr="00B0699D">
        <w:rPr>
          <w:rFonts w:ascii="Times New Roman" w:hAnsi="Times New Roman"/>
          <w:noProof/>
          <w:color w:val="000000"/>
          <w:sz w:val="28"/>
          <w:lang w:val="uk-UA"/>
        </w:rPr>
        <w:t>Корсуні, Каневі</w:t>
      </w:r>
      <w:r w:rsidR="00474E8E" w:rsidRPr="00B0699D">
        <w:rPr>
          <w:rFonts w:ascii="Times New Roman" w:hAnsi="Times New Roman"/>
          <w:noProof/>
          <w:color w:val="000000"/>
          <w:sz w:val="28"/>
          <w:lang w:val="uk-UA"/>
        </w:rPr>
        <w:t xml:space="preserve"> </w:t>
      </w:r>
      <w:r w:rsidR="004D38D0" w:rsidRPr="00B0699D">
        <w:rPr>
          <w:rFonts w:ascii="Times New Roman" w:hAnsi="Times New Roman"/>
          <w:noProof/>
          <w:color w:val="000000"/>
          <w:sz w:val="28"/>
          <w:lang w:val="uk-UA"/>
        </w:rPr>
        <w:t>та Черкасах</w:t>
      </w:r>
      <w:r w:rsidR="00AF6CDA" w:rsidRPr="00B0699D">
        <w:rPr>
          <w:rFonts w:ascii="Times New Roman" w:hAnsi="Times New Roman"/>
          <w:noProof/>
          <w:color w:val="000000"/>
          <w:sz w:val="28"/>
          <w:lang w:val="uk-UA"/>
        </w:rPr>
        <w:t xml:space="preserve"> [21, 32]</w:t>
      </w:r>
      <w:r w:rsidR="004D38D0" w:rsidRPr="00B0699D">
        <w:rPr>
          <w:rFonts w:ascii="Times New Roman" w:hAnsi="Times New Roman"/>
          <w:noProof/>
          <w:color w:val="000000"/>
          <w:sz w:val="28"/>
          <w:lang w:val="uk-UA"/>
        </w:rPr>
        <w:t>.</w:t>
      </w:r>
      <w:r w:rsidR="00474E8E" w:rsidRPr="00B0699D">
        <w:rPr>
          <w:rFonts w:ascii="Times New Roman" w:hAnsi="Times New Roman"/>
          <w:noProof/>
          <w:color w:val="000000"/>
          <w:sz w:val="28"/>
          <w:lang w:val="uk-UA"/>
        </w:rPr>
        <w:t xml:space="preserve"> </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Із вибухом Української революції середини XVII ст. процеси розбудови полково-сотенного устрою суттєво інтенсифікуються. Уже впродовж літа 1648 р. створюються полки на Лівобережній Україні, Київщині, Чернігівщині та Брацлавщині, а восени - у північній частині Правобережжя (Київське воєводство), південно-східній Волині, східній і центральній частині Подільського воєводства, на півдні Галицької землі Руського воєводства [</w:t>
      </w:r>
      <w:r w:rsidR="00AF6CDA" w:rsidRPr="00B0699D">
        <w:rPr>
          <w:rFonts w:ascii="Times New Roman" w:hAnsi="Times New Roman"/>
          <w:noProof/>
          <w:color w:val="000000"/>
          <w:sz w:val="28"/>
          <w:lang w:val="uk-UA"/>
        </w:rPr>
        <w:t>21, 33</w:t>
      </w:r>
      <w:r w:rsidRPr="00B0699D">
        <w:rPr>
          <w:rFonts w:ascii="Times New Roman" w:hAnsi="Times New Roman"/>
          <w:noProof/>
          <w:color w:val="000000"/>
          <w:sz w:val="28"/>
          <w:lang w:val="uk-UA"/>
        </w:rPr>
        <w:t>]. На середину 1649 р. загальна кількість полків становила понад 20 військових одиниць, що</w:t>
      </w:r>
      <w:r w:rsidR="0024147C"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спиралися на відповідні територіально-адміністративні округи.</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Згідно з умовами Зборівського договору 1649 р., Українська козацька держава втратила територію Барського, Зв'ягельського, Любартівського, Миропільського, Остропільського та Могилевського полків. Козацьке військо у кількості 40 тис. вояків відтепер мало базуватися</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на теренах 16 полків: Чигиринського, Білоцерківського, Корсунського, Черкаського,Уманського, Брацлавського,Кальницького,</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Канівського, Київського, Переяславського, Кропивнянського, Миргородського, Полтавського, Прилуцького, Ніжинського та Чернігівського</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[1</w:t>
      </w:r>
      <w:r w:rsidR="00AF6CDA" w:rsidRPr="00B0699D">
        <w:rPr>
          <w:rFonts w:ascii="Times New Roman" w:hAnsi="Times New Roman"/>
          <w:noProof/>
          <w:color w:val="000000"/>
          <w:sz w:val="28"/>
          <w:lang w:val="uk-UA"/>
        </w:rPr>
        <w:t>4, 315</w:t>
      </w:r>
      <w:r w:rsidRPr="00B0699D">
        <w:rPr>
          <w:rFonts w:ascii="Times New Roman" w:hAnsi="Times New Roman"/>
          <w:noProof/>
          <w:color w:val="000000"/>
          <w:sz w:val="28"/>
          <w:lang w:val="uk-UA"/>
        </w:rPr>
        <w:t>]. Окремі козацькі полки як певні територіально-адміністративні округи та військові одиниці, наприклад, Борзненський та Овруцький, було переформовано у відповідні сотні Чернігівського та Київського полків.</w:t>
      </w:r>
    </w:p>
    <w:p w:rsidR="0024147C" w:rsidRPr="00B0699D" w:rsidRDefault="00336D87"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Н</w:t>
      </w:r>
      <w:r w:rsidR="004D38D0" w:rsidRPr="00B0699D">
        <w:rPr>
          <w:rFonts w:ascii="Times New Roman" w:hAnsi="Times New Roman"/>
          <w:noProof/>
          <w:color w:val="000000"/>
          <w:sz w:val="28"/>
          <w:lang w:val="uk-UA"/>
        </w:rPr>
        <w:t>есприятливий для Українського Гетьманату</w:t>
      </w:r>
      <w:r w:rsidR="00474E8E" w:rsidRPr="00B0699D">
        <w:rPr>
          <w:rFonts w:ascii="Times New Roman" w:hAnsi="Times New Roman"/>
          <w:noProof/>
          <w:color w:val="000000"/>
          <w:sz w:val="28"/>
          <w:lang w:val="uk-UA"/>
        </w:rPr>
        <w:t xml:space="preserve"> </w:t>
      </w:r>
      <w:r w:rsidR="004D38D0" w:rsidRPr="00B0699D">
        <w:rPr>
          <w:rFonts w:ascii="Times New Roman" w:hAnsi="Times New Roman"/>
          <w:noProof/>
          <w:color w:val="000000"/>
          <w:sz w:val="28"/>
          <w:lang w:val="uk-UA"/>
        </w:rPr>
        <w:t xml:space="preserve">розвиток міжнародних процесів зумовив ситуацію, за якої з кінця 1650-х рр. його територія, головним чином, невпинно танула. Зокрема, наприкінці </w:t>
      </w:r>
      <w:r w:rsidRPr="00B0699D">
        <w:rPr>
          <w:rFonts w:ascii="Times New Roman" w:hAnsi="Times New Roman"/>
          <w:noProof/>
          <w:color w:val="000000"/>
          <w:sz w:val="28"/>
          <w:lang w:val="uk-UA"/>
        </w:rPr>
        <w:t>16</w:t>
      </w:r>
      <w:r w:rsidR="004D38D0" w:rsidRPr="00B0699D">
        <w:rPr>
          <w:rFonts w:ascii="Times New Roman" w:hAnsi="Times New Roman"/>
          <w:noProof/>
          <w:color w:val="000000"/>
          <w:sz w:val="28"/>
          <w:lang w:val="uk-UA"/>
        </w:rPr>
        <w:t>50-х було втрачено контроль над землями Волинського, Турово-Пінського та Білоруського полків. Після поразки визвольних змагань козацтва на Правобережжі та зречення П.Дорошенком гетьманської булави польська влада поступово ліквідувала Білоцерківський, Брацлавський,</w:t>
      </w:r>
      <w:r w:rsidR="00474E8E" w:rsidRPr="00B0699D">
        <w:rPr>
          <w:rFonts w:ascii="Times New Roman" w:hAnsi="Times New Roman"/>
          <w:noProof/>
          <w:color w:val="000000"/>
          <w:sz w:val="28"/>
          <w:lang w:val="uk-UA"/>
        </w:rPr>
        <w:t xml:space="preserve"> </w:t>
      </w:r>
      <w:r w:rsidR="004D38D0" w:rsidRPr="00B0699D">
        <w:rPr>
          <w:rFonts w:ascii="Times New Roman" w:hAnsi="Times New Roman"/>
          <w:noProof/>
          <w:color w:val="000000"/>
          <w:sz w:val="28"/>
          <w:lang w:val="uk-UA"/>
        </w:rPr>
        <w:t>Корсунський,</w:t>
      </w:r>
      <w:r w:rsidR="00AF6CDA" w:rsidRPr="00B0699D">
        <w:rPr>
          <w:rFonts w:ascii="Times New Roman" w:hAnsi="Times New Roman"/>
          <w:noProof/>
          <w:color w:val="000000"/>
          <w:sz w:val="28"/>
          <w:lang w:val="uk-UA"/>
        </w:rPr>
        <w:t xml:space="preserve"> </w:t>
      </w:r>
      <w:r w:rsidR="004D38D0" w:rsidRPr="00B0699D">
        <w:rPr>
          <w:rFonts w:ascii="Times New Roman" w:hAnsi="Times New Roman"/>
          <w:noProof/>
          <w:color w:val="000000"/>
          <w:sz w:val="28"/>
          <w:lang w:val="uk-UA"/>
        </w:rPr>
        <w:t>Канівський,</w:t>
      </w:r>
      <w:r w:rsidR="003C741B" w:rsidRPr="00B0699D">
        <w:rPr>
          <w:rFonts w:ascii="Times New Roman" w:hAnsi="Times New Roman"/>
          <w:noProof/>
          <w:color w:val="000000"/>
          <w:sz w:val="28"/>
          <w:lang w:val="uk-UA"/>
        </w:rPr>
        <w:t xml:space="preserve"> </w:t>
      </w:r>
      <w:r w:rsidR="004D38D0" w:rsidRPr="00B0699D">
        <w:rPr>
          <w:rFonts w:ascii="Times New Roman" w:hAnsi="Times New Roman"/>
          <w:noProof/>
          <w:color w:val="000000"/>
          <w:sz w:val="28"/>
          <w:lang w:val="uk-UA"/>
        </w:rPr>
        <w:t>Могилевський</w:t>
      </w:r>
      <w:r w:rsidR="003C741B" w:rsidRPr="00B0699D">
        <w:rPr>
          <w:rFonts w:ascii="Times New Roman" w:hAnsi="Times New Roman"/>
          <w:noProof/>
          <w:color w:val="000000"/>
          <w:sz w:val="28"/>
          <w:lang w:val="uk-UA"/>
        </w:rPr>
        <w:t xml:space="preserve">, </w:t>
      </w:r>
      <w:r w:rsidR="004D38D0" w:rsidRPr="00B0699D">
        <w:rPr>
          <w:rFonts w:ascii="Times New Roman" w:hAnsi="Times New Roman"/>
          <w:noProof/>
          <w:color w:val="000000"/>
          <w:sz w:val="28"/>
          <w:lang w:val="uk-UA"/>
        </w:rPr>
        <w:t>Паволоцький, Вінницький,Уманський, Черкаський та Торговицький полки. Лише в ході колонізаційної діяльності правобережного козацтва, очолюваного Семеном Палієм і його соратниками, впродовж 1684-1685 рр. було відновлено адміністративну структуру на Правобережжі, в</w:t>
      </w:r>
      <w:r w:rsidR="00474E8E" w:rsidRPr="00B0699D">
        <w:rPr>
          <w:rFonts w:ascii="Times New Roman" w:hAnsi="Times New Roman"/>
          <w:noProof/>
          <w:color w:val="000000"/>
          <w:sz w:val="28"/>
          <w:lang w:val="uk-UA"/>
        </w:rPr>
        <w:t xml:space="preserve"> </w:t>
      </w:r>
      <w:r w:rsidR="004D38D0" w:rsidRPr="00B0699D">
        <w:rPr>
          <w:rFonts w:ascii="Times New Roman" w:hAnsi="Times New Roman"/>
          <w:noProof/>
          <w:color w:val="000000"/>
          <w:sz w:val="28"/>
          <w:lang w:val="uk-UA"/>
        </w:rPr>
        <w:t>результаті чого спочатку постали Фастівський і Богуславський полки,</w:t>
      </w:r>
      <w:r w:rsidRPr="00B0699D">
        <w:rPr>
          <w:rFonts w:ascii="Times New Roman" w:hAnsi="Times New Roman"/>
          <w:noProof/>
          <w:color w:val="000000"/>
          <w:sz w:val="28"/>
          <w:lang w:val="uk-UA"/>
        </w:rPr>
        <w:t xml:space="preserve"> </w:t>
      </w:r>
      <w:r w:rsidR="004D38D0" w:rsidRPr="00B0699D">
        <w:rPr>
          <w:rFonts w:ascii="Times New Roman" w:hAnsi="Times New Roman"/>
          <w:noProof/>
          <w:color w:val="000000"/>
          <w:sz w:val="28"/>
          <w:lang w:val="uk-UA"/>
        </w:rPr>
        <w:t xml:space="preserve">а згодом </w:t>
      </w:r>
      <w:r w:rsidRPr="00B0699D">
        <w:rPr>
          <w:rFonts w:ascii="Times New Roman" w:hAnsi="Times New Roman"/>
          <w:noProof/>
          <w:color w:val="000000"/>
          <w:sz w:val="28"/>
          <w:lang w:val="uk-UA"/>
        </w:rPr>
        <w:t>–</w:t>
      </w:r>
      <w:r w:rsidR="004D38D0" w:rsidRPr="00B0699D">
        <w:rPr>
          <w:rFonts w:ascii="Times New Roman" w:hAnsi="Times New Roman"/>
          <w:noProof/>
          <w:color w:val="000000"/>
          <w:sz w:val="28"/>
          <w:lang w:val="uk-UA"/>
        </w:rPr>
        <w:t xml:space="preserve"> Корсунський і Брацлавський</w:t>
      </w:r>
      <w:r w:rsidR="00AF6CDA" w:rsidRPr="00B0699D">
        <w:rPr>
          <w:rFonts w:ascii="Times New Roman" w:hAnsi="Times New Roman"/>
          <w:noProof/>
          <w:color w:val="000000"/>
          <w:sz w:val="28"/>
          <w:lang w:val="uk-UA"/>
        </w:rPr>
        <w:t xml:space="preserve"> [21, 38]</w:t>
      </w:r>
      <w:r w:rsidR="004D38D0" w:rsidRPr="00B0699D">
        <w:rPr>
          <w:rFonts w:ascii="Times New Roman" w:hAnsi="Times New Roman"/>
          <w:noProof/>
          <w:color w:val="000000"/>
          <w:sz w:val="28"/>
          <w:lang w:val="uk-UA"/>
        </w:rPr>
        <w:t xml:space="preserve">. </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Території полків поділялись на сотні, кількість яких суттєво різнилася. Згідно з Реєстром Війська Запорозького 1649 р., вона коливалася від 8-ми сотень у Чернігівському полку до 23-х у Білоцерківському та 22-х </w:t>
      </w:r>
      <w:r w:rsidR="00336D87"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у Брацлавському.</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За часів громадянських війн та іноземних вторгнень 50-60-х рр. XVII ст. кількість сотень значно скоротилась на теренах Правобережного </w:t>
      </w:r>
      <w:r w:rsidR="00336D87" w:rsidRPr="00B0699D">
        <w:rPr>
          <w:rFonts w:ascii="Times New Roman" w:hAnsi="Times New Roman"/>
          <w:noProof/>
          <w:color w:val="000000"/>
          <w:sz w:val="28"/>
          <w:lang w:val="uk-UA"/>
        </w:rPr>
        <w:t>Г</w:t>
      </w:r>
      <w:r w:rsidRPr="00B0699D">
        <w:rPr>
          <w:rFonts w:ascii="Times New Roman" w:hAnsi="Times New Roman"/>
          <w:noProof/>
          <w:color w:val="000000"/>
          <w:sz w:val="28"/>
          <w:lang w:val="uk-UA"/>
        </w:rPr>
        <w:t>етьманату і стала дещо меншою на Лівобережжі. Згідно з інформацією 1672 р., тобто часу остаточної стабілізації на землях Лівобережного Іетьманату, тут налічувалося 117 сотень, тоді як Реєстром Війська Запорозького 1649 р. зафіксовано існування 124</w:t>
      </w:r>
      <w:r w:rsidR="00AF6CDA" w:rsidRPr="00B0699D">
        <w:rPr>
          <w:rFonts w:ascii="Times New Roman" w:hAnsi="Times New Roman"/>
          <w:noProof/>
          <w:color w:val="000000"/>
          <w:sz w:val="28"/>
          <w:lang w:val="uk-UA"/>
        </w:rPr>
        <w:t xml:space="preserve"> [14, 317]</w:t>
      </w:r>
      <w:r w:rsidRPr="00B0699D">
        <w:rPr>
          <w:rFonts w:ascii="Times New Roman" w:hAnsi="Times New Roman"/>
          <w:noProof/>
          <w:color w:val="000000"/>
          <w:sz w:val="28"/>
          <w:lang w:val="uk-UA"/>
        </w:rPr>
        <w:t>.</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Адміністративні центри сотень були у містах і містечках, іноді </w:t>
      </w:r>
      <w:r w:rsidR="00336D87"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великих селах. У великих козацьких центрах, переважно полкових містечках, розташовувалася не одна, а дві-три і більше сотень (зокрема за Реєстром 1649 р. у Ніжині було аж п'ять місь ких і одна полкова сотні [</w:t>
      </w:r>
      <w:r w:rsidR="00AF6CDA" w:rsidRPr="00B0699D">
        <w:rPr>
          <w:rFonts w:ascii="Times New Roman" w:hAnsi="Times New Roman"/>
          <w:noProof/>
          <w:color w:val="000000"/>
          <w:sz w:val="28"/>
          <w:lang w:val="uk-UA"/>
        </w:rPr>
        <w:t>14, 317</w:t>
      </w:r>
      <w:r w:rsidRPr="00B0699D">
        <w:rPr>
          <w:rFonts w:ascii="Times New Roman" w:hAnsi="Times New Roman"/>
          <w:noProof/>
          <w:color w:val="000000"/>
          <w:sz w:val="28"/>
          <w:lang w:val="uk-UA"/>
        </w:rPr>
        <w:t>]).</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Назва сотні переважно походила від назви населеного пункту, де був сотенний центр, але іноді, особливо на ранніх етапах існування козацької держави,</w:t>
      </w:r>
      <w:r w:rsidR="00336D87"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 від прізвища чи імені (рідше) сотника чи організатора сотні.</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Представниками військової адміністративної влади на території полку і виконавцями доручень гетьмана, генеральних та старшинських рад були полковники. Прерогативи полковника охоплювали широке коло адміністративних, військових, судових і фінансових повноважень. Полковники забезпечували мобілізацію ввіреного їм військового підрозділу, здійснювали всю повноту розпорядчих функцій на підвладній їм території. Насамперед вони розпоряджалися земельним фондом (так звані рангові маєтності) колишньої королівщини та земель, залишених шляхтою. Полковники розподіляли ці землі між старшиною і козаками як плату за несення ними військової служби. Вони також організовували фінансову справу, справляти податки до військового скарбу, віддавали</w:t>
      </w:r>
      <w:r w:rsidR="00336D87"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в оренду підприємства, що належали до військового фонду, збирали орендну плату. Повноваження полковників у поземельних і фінансових справах ставили під їхній контроль також міське господарство і давали змогу втручатись у внутрішні справи міст.</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При управлінні ввіреним йому полком полковник спирався на полкову старшину, склад якої інституційно майже повністю дублював склад гетьманського уряду </w:t>
      </w:r>
      <w:r w:rsidR="00336D87"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полковий обозний, полковий суддя, полковий осавул, полковий писар і полковий хорунжий, тобто не було лише уряду бунчужного, натомість згадки про інститут полкового хорунжого у джерелах регулярно зустрічаються від середини XVII ст., коли уряд хорунжого генерального ще не став таким, що діяв постійно.</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Вочевидь близькими були і моделі службової ієрархії полкового та генерального рівнів, щоправда, позиції полкового писаря, як і полкового обозного, мають значно слабший вигляд, аніж позиції їхніх аналогів у гетьманському уряді</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Модель адміністративного устрою полку дублювалась на сотенному рівні, де владні повноваження реалізували сотник, спираючись на сотенну старшину </w:t>
      </w:r>
      <w:r w:rsidR="00336D87"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сотенного осавула, сотенного хорунжого та сотенного писаря, а також курінних отаманів, які здійснювали безпосереднє врядування козацькими громадами сотні. Кількість останніх коливалася від 2-3 до 5-6 осіб. І хоч згадок про них, на відміну від сотенного хорунжого чи осавула, у правових документах, що регулювали розміри щорічної рангової платні, немає, історичні джерела, які відображають хід політичних процесів, переконують у їхній важливій ролі, можливо, навіть дещо більших владних можливостях, аніж інших козацьких урядників сотенного рівня, за винятком, звичайно, сотника і городового отамана</w:t>
      </w:r>
      <w:r w:rsidR="00336D87" w:rsidRPr="00B0699D">
        <w:rPr>
          <w:rFonts w:ascii="Times New Roman" w:hAnsi="Times New Roman"/>
          <w:noProof/>
          <w:color w:val="000000"/>
          <w:sz w:val="28"/>
          <w:lang w:val="uk-UA"/>
        </w:rPr>
        <w:t>.</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Функціональні обов'язки городового отамана передбачали прерогативи адміністрування в полковому центрі або гетьманській резиденції, без зачіпання сфери військової. Втім, таке формальне обмеження не надто послабляло вплив цієї групи козацьких урядовців</w:t>
      </w:r>
      <w:r w:rsidR="00336D87" w:rsidRPr="00B0699D">
        <w:rPr>
          <w:rFonts w:ascii="Times New Roman" w:hAnsi="Times New Roman"/>
          <w:noProof/>
          <w:color w:val="000000"/>
          <w:sz w:val="28"/>
          <w:lang w:val="uk-UA"/>
        </w:rPr>
        <w:t>, і тому</w:t>
      </w:r>
      <w:r w:rsidRPr="00B0699D">
        <w:rPr>
          <w:rFonts w:ascii="Times New Roman" w:hAnsi="Times New Roman"/>
          <w:noProof/>
          <w:color w:val="000000"/>
          <w:sz w:val="28"/>
          <w:lang w:val="uk-UA"/>
        </w:rPr>
        <w:t xml:space="preserve"> інститут городових отаманів зберігався лише у великих козацьких центрах </w:t>
      </w:r>
      <w:r w:rsidR="00336D87"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полкових містах, де перебувало кілька козацьких сотень, або ж у гетьманській резиденції. У реєстрах козацької старшини відомості про городового отамана, як правило, йшли зразу ж після згадки про сотника полкової або першої міської сотні, перед отаманами курінними та іншою сотенною старшиною.</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Допоміжним органом низової адміністрації були місцеві ради, які скликалися старшиною для обговорення і вирішення найважливіших військових, адміністративних та судових справ.</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Посади як полкової, так і сотенної старшини формально вважалися виборними. Однак на практиці на полковництво та важливі уряди полкової старшини гетьман призначав самостійно чи за згодою Старшинської ради. Вища старшина дражливо ставилася до перебрання цієї важливої функції гетьманами до своїх рук і в боротьбі з цією тенденцією діставала підтримку в російського уряду. Зокрема, уже до «Переяславських статей» 1659 р. було внесено положення про те, аби гетьман «без рады и совіту всей черни» не призначав на полкові уряди та не скидав з них [1</w:t>
      </w:r>
      <w:r w:rsidR="00AF6CDA" w:rsidRPr="00B0699D">
        <w:rPr>
          <w:rFonts w:ascii="Times New Roman" w:hAnsi="Times New Roman"/>
          <w:noProof/>
          <w:color w:val="000000"/>
          <w:sz w:val="28"/>
          <w:lang w:val="uk-UA"/>
        </w:rPr>
        <w:t>4, 321</w:t>
      </w:r>
      <w:r w:rsidRPr="00B0699D">
        <w:rPr>
          <w:rFonts w:ascii="Times New Roman" w:hAnsi="Times New Roman"/>
          <w:noProof/>
          <w:color w:val="000000"/>
          <w:sz w:val="28"/>
          <w:lang w:val="uk-UA"/>
        </w:rPr>
        <w:t>].</w:t>
      </w:r>
    </w:p>
    <w:p w:rsidR="009F7A43" w:rsidRPr="00B0699D" w:rsidRDefault="009F7A43" w:rsidP="00474E8E">
      <w:pPr>
        <w:spacing w:after="0" w:line="360" w:lineRule="auto"/>
        <w:ind w:firstLine="709"/>
        <w:jc w:val="both"/>
        <w:rPr>
          <w:rFonts w:ascii="Times New Roman" w:hAnsi="Times New Roman"/>
          <w:noProof/>
          <w:color w:val="000000"/>
          <w:sz w:val="28"/>
          <w:lang w:val="uk-UA"/>
        </w:rPr>
      </w:pPr>
    </w:p>
    <w:p w:rsidR="004D38D0" w:rsidRPr="00B0699D" w:rsidRDefault="00F75BF6" w:rsidP="00474E8E">
      <w:pPr>
        <w:spacing w:after="0" w:line="360" w:lineRule="auto"/>
        <w:ind w:firstLine="709"/>
        <w:jc w:val="both"/>
        <w:rPr>
          <w:rFonts w:ascii="Times New Roman" w:hAnsi="Times New Roman"/>
          <w:noProof/>
          <w:color w:val="000000"/>
          <w:sz w:val="28"/>
          <w:lang w:val="uk-UA"/>
        </w:rPr>
      </w:pPr>
      <w:bookmarkStart w:id="8" w:name="_Toc228346842"/>
      <w:r w:rsidRPr="00B0699D">
        <w:rPr>
          <w:rFonts w:ascii="Times New Roman" w:hAnsi="Times New Roman"/>
          <w:noProof/>
          <w:color w:val="000000"/>
          <w:sz w:val="28"/>
          <w:lang w:val="uk-UA"/>
        </w:rPr>
        <w:t xml:space="preserve">2.2 </w:t>
      </w:r>
      <w:r w:rsidR="009F7A43" w:rsidRPr="00B0699D">
        <w:rPr>
          <w:rFonts w:ascii="Times New Roman" w:hAnsi="Times New Roman"/>
          <w:noProof/>
          <w:color w:val="000000"/>
          <w:sz w:val="28"/>
          <w:lang w:val="uk-UA"/>
        </w:rPr>
        <w:t>О</w:t>
      </w:r>
      <w:r w:rsidR="004D38D0" w:rsidRPr="00B0699D">
        <w:rPr>
          <w:rFonts w:ascii="Times New Roman" w:hAnsi="Times New Roman"/>
          <w:noProof/>
          <w:color w:val="000000"/>
          <w:sz w:val="28"/>
          <w:lang w:val="uk-UA"/>
        </w:rPr>
        <w:t>ргани виконавчої</w:t>
      </w:r>
      <w:r w:rsidR="009F7A43" w:rsidRPr="00B0699D">
        <w:rPr>
          <w:rFonts w:ascii="Times New Roman" w:hAnsi="Times New Roman"/>
          <w:noProof/>
          <w:color w:val="000000"/>
          <w:sz w:val="28"/>
          <w:lang w:val="uk-UA"/>
        </w:rPr>
        <w:t xml:space="preserve"> </w:t>
      </w:r>
      <w:r w:rsidR="004D38D0" w:rsidRPr="00B0699D">
        <w:rPr>
          <w:rFonts w:ascii="Times New Roman" w:hAnsi="Times New Roman"/>
          <w:noProof/>
          <w:color w:val="000000"/>
          <w:sz w:val="28"/>
          <w:lang w:val="uk-UA"/>
        </w:rPr>
        <w:t>та судової влади</w:t>
      </w:r>
      <w:r w:rsidR="009F7A43" w:rsidRPr="00B0699D">
        <w:rPr>
          <w:rFonts w:ascii="Times New Roman" w:hAnsi="Times New Roman"/>
          <w:noProof/>
          <w:color w:val="000000"/>
          <w:sz w:val="28"/>
          <w:lang w:val="uk-UA"/>
        </w:rPr>
        <w:t xml:space="preserve"> Української козацької держави XVII ст.</w:t>
      </w:r>
      <w:bookmarkEnd w:id="8"/>
    </w:p>
    <w:p w:rsidR="00F75BF6" w:rsidRPr="00B0699D" w:rsidRDefault="00F75BF6" w:rsidP="00474E8E">
      <w:pPr>
        <w:spacing w:after="0" w:line="360" w:lineRule="auto"/>
        <w:ind w:firstLine="709"/>
        <w:jc w:val="both"/>
        <w:rPr>
          <w:rFonts w:ascii="Times New Roman" w:hAnsi="Times New Roman"/>
          <w:noProof/>
          <w:color w:val="000000"/>
          <w:sz w:val="28"/>
          <w:lang w:val="uk-UA"/>
        </w:rPr>
      </w:pPr>
    </w:p>
    <w:p w:rsidR="009F7A43"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Центральними органами виконавчої влади Гетьманщини були Генеральна військова канцелярія та Генеральна скарбова канцелярія. Генеральна військова канцелярія протягом усього часу існування Української держави слугувала інструментом реалізації постанов Генеральних і Старшинських рад, законодавчих ініціатив гетьмана. У канцелярії розглядалися найважливіші справи адміністративного та військового характеру </w:t>
      </w:r>
      <w:r w:rsidR="009F7A43"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звіти і листування полкової та сотенної старшини, справи міст, прохання і скарги окремих людей, дипломатичне листування, виготовлялися гетьманські універсали, мобілізаційні накази, майнові пожалування, ордери на податкові пільги тощо</w:t>
      </w:r>
      <w:r w:rsidR="009F7A43" w:rsidRPr="00B0699D">
        <w:rPr>
          <w:rFonts w:ascii="Times New Roman" w:hAnsi="Times New Roman"/>
          <w:noProof/>
          <w:color w:val="000000"/>
          <w:sz w:val="28"/>
          <w:lang w:val="uk-UA"/>
        </w:rPr>
        <w:t>.</w:t>
      </w:r>
    </w:p>
    <w:p w:rsidR="004F69E8" w:rsidRPr="00B0699D" w:rsidRDefault="004F69E8"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У жалуваній громоті, наданій Б. Хмельницькому і старшині 27 березня 1654 р., російський цар Олексій Михайлович закріпив право українського народу судитися за своїми звичаями: «Их права и вольности войсковіе, как издавна бывали при великих князех руских и при королех полских, что суживали и вольности свои имели в добрах и судах, и чтоб в те их войсковіе суди некто не уступался, но от своих би старшин судились, подтвердити; и прежних би их прав, какови дани духовного и мирского чину людем от великих князей русских и королей полских не нарушить»</w:t>
      </w:r>
      <w:r w:rsidR="00AF6CDA" w:rsidRPr="00B0699D">
        <w:rPr>
          <w:rFonts w:ascii="Times New Roman" w:hAnsi="Times New Roman"/>
          <w:noProof/>
          <w:color w:val="000000"/>
          <w:sz w:val="28"/>
          <w:lang w:val="uk-UA"/>
        </w:rPr>
        <w:t xml:space="preserve"> [24, 17]</w:t>
      </w:r>
      <w:r w:rsidRPr="00B0699D">
        <w:rPr>
          <w:rFonts w:ascii="Times New Roman" w:hAnsi="Times New Roman"/>
          <w:noProof/>
          <w:color w:val="000000"/>
          <w:sz w:val="28"/>
          <w:lang w:val="uk-UA"/>
        </w:rPr>
        <w:t>.</w:t>
      </w:r>
    </w:p>
    <w:p w:rsidR="004F69E8" w:rsidRPr="00B0699D" w:rsidRDefault="004F69E8"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Документи судоводства Запорізької Січі, що дійшли до нас, свідчать про демократичний характер козацького суду. Широко використовувалися такі заходи, як взяття винуватця </w:t>
      </w:r>
      <w:r w:rsidR="00AF6CDA" w:rsidRPr="00B0699D">
        <w:rPr>
          <w:rFonts w:ascii="Times New Roman" w:hAnsi="Times New Roman"/>
          <w:noProof/>
          <w:color w:val="000000"/>
          <w:sz w:val="28"/>
          <w:lang w:val="uk-UA"/>
        </w:rPr>
        <w:t>«</w:t>
      </w:r>
      <w:r w:rsidRPr="00B0699D">
        <w:rPr>
          <w:rFonts w:ascii="Times New Roman" w:hAnsi="Times New Roman"/>
          <w:noProof/>
          <w:color w:val="000000"/>
          <w:sz w:val="28"/>
          <w:lang w:val="uk-UA"/>
        </w:rPr>
        <w:t>на поруку</w:t>
      </w:r>
      <w:r w:rsidR="00AF6CDA"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або зменшення покарання, враховуючи його сімейне становище</w:t>
      </w:r>
      <w:r w:rsidR="00AF6CDA" w:rsidRPr="00B0699D">
        <w:rPr>
          <w:rFonts w:ascii="Times New Roman" w:hAnsi="Times New Roman"/>
          <w:noProof/>
          <w:color w:val="000000"/>
          <w:sz w:val="28"/>
          <w:lang w:val="uk-UA"/>
        </w:rPr>
        <w:t xml:space="preserve"> [24, 21]</w:t>
      </w:r>
      <w:r w:rsidRPr="00B0699D">
        <w:rPr>
          <w:rFonts w:ascii="Times New Roman" w:hAnsi="Times New Roman"/>
          <w:noProof/>
          <w:color w:val="000000"/>
          <w:sz w:val="28"/>
          <w:lang w:val="uk-UA"/>
        </w:rPr>
        <w:t xml:space="preserve">. </w:t>
      </w:r>
    </w:p>
    <w:p w:rsidR="004F69E8" w:rsidRPr="00B0699D" w:rsidRDefault="004F69E8"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Велика кількість джерел, у т.ч. й </w:t>
      </w:r>
      <w:r w:rsidR="00AF6CDA" w:rsidRPr="00B0699D">
        <w:rPr>
          <w:rFonts w:ascii="Times New Roman" w:hAnsi="Times New Roman"/>
          <w:noProof/>
          <w:color w:val="000000"/>
          <w:sz w:val="28"/>
          <w:lang w:val="uk-UA"/>
        </w:rPr>
        <w:t>«</w:t>
      </w:r>
      <w:r w:rsidRPr="00B0699D">
        <w:rPr>
          <w:rFonts w:ascii="Times New Roman" w:hAnsi="Times New Roman"/>
          <w:noProof/>
          <w:color w:val="000000"/>
          <w:sz w:val="28"/>
          <w:lang w:val="uk-UA"/>
        </w:rPr>
        <w:t>Інструкція судам</w:t>
      </w:r>
      <w:r w:rsidR="00AF6CDA"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гетьмана Д. Апостола, свідчить, що судові органи в Україні XVII ст. (зокрема, Запорозької Січі) були колегіальними. Судді зазвичай обиралися населенням безпосередньо на радах чи призначалися вищою владною структурою. Вважалося за правильне, що обраний суддя має бути «людиною гідною, заслуженою, непідозріливою, совісною, грамотною, в правах винахідливою, із законного подружнього народження, чесного поводження, в словах і справах постійною, не молодшою 25 і не старшою 75 років»</w:t>
      </w:r>
      <w:r w:rsidR="00AF6CDA" w:rsidRPr="00B0699D">
        <w:rPr>
          <w:rFonts w:ascii="Times New Roman" w:hAnsi="Times New Roman"/>
          <w:noProof/>
          <w:color w:val="000000"/>
          <w:sz w:val="28"/>
          <w:lang w:val="uk-UA"/>
        </w:rPr>
        <w:t xml:space="preserve"> [24, 23]</w:t>
      </w:r>
      <w:r w:rsidRPr="00B0699D">
        <w:rPr>
          <w:rFonts w:ascii="Times New Roman" w:hAnsi="Times New Roman"/>
          <w:noProof/>
          <w:color w:val="000000"/>
          <w:sz w:val="28"/>
          <w:lang w:val="uk-UA"/>
        </w:rPr>
        <w:t xml:space="preserve">. </w:t>
      </w:r>
    </w:p>
    <w:p w:rsidR="004F69E8" w:rsidRPr="00B0699D" w:rsidRDefault="004F69E8"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Обраний суддя складав присягу на вірність службі й суду, клявся розглядати справи по суті без будь-якого упередження, не допускаючи тяганини та «сприятельства», не ухиляючися від служби, керуючись законом, а якщо «право мовчало», тобто не регулювало конкретних відносин </w:t>
      </w:r>
      <w:r w:rsidR="003C741B"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«совістю, прикладом інших прав християнських і прецедентом». У спірних випадках він повинен був віддавати перевагу нормам з м'якшими санкціями. Суддя обирався для здійснення правосуддя на певній території, і тому його компетенція поширювалась лише на цей регіон, за винятком випадків, коли інші особи, за власною ініціативою, зверталися до даного суду з проханням розглянути їхню справу. </w:t>
      </w:r>
    </w:p>
    <w:p w:rsidR="00935064" w:rsidRPr="00B0699D" w:rsidRDefault="004F69E8"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Судові установи в країні у XVII ст. складали певну ієрархічну систему. </w:t>
      </w:r>
      <w:r w:rsidR="00AF6CDA" w:rsidRPr="00B0699D">
        <w:rPr>
          <w:rFonts w:ascii="Times New Roman" w:hAnsi="Times New Roman"/>
          <w:noProof/>
          <w:color w:val="000000"/>
          <w:sz w:val="28"/>
          <w:lang w:val="uk-UA"/>
        </w:rPr>
        <w:t>П</w:t>
      </w:r>
      <w:r w:rsidRPr="00B0699D">
        <w:rPr>
          <w:rFonts w:ascii="Times New Roman" w:hAnsi="Times New Roman"/>
          <w:noProof/>
          <w:color w:val="000000"/>
          <w:sz w:val="28"/>
          <w:lang w:val="uk-UA"/>
        </w:rPr>
        <w:t>отерпілий, який не погоджувався з рішенням вищого суду, міг звертатися до полкового або генерального суду. Оскаржити рішення магістрацького суду дозволялося гетьману, його правлячій канцелярії чи генеральному суду. Судовій процедурі цього періоду вже тоді були властиві певні демократичні принципи, які мали свій подальший розвиток. А саме: принцип публічності, принцип безпосередності, усності та змагальності. Вони відображали демократичне зачинання Малоросії, її самобутність, схильність до свободи й справедливості. На судових засіданнях завжди було багатолюдно</w:t>
      </w:r>
      <w:r w:rsidR="00AF6CDA" w:rsidRPr="00B0699D">
        <w:rPr>
          <w:rFonts w:ascii="Times New Roman" w:hAnsi="Times New Roman"/>
          <w:noProof/>
          <w:color w:val="000000"/>
          <w:sz w:val="28"/>
          <w:lang w:val="uk-UA"/>
        </w:rPr>
        <w:t xml:space="preserve"> [25, 28]</w:t>
      </w:r>
      <w:r w:rsidRPr="00B0699D">
        <w:rPr>
          <w:rFonts w:ascii="Times New Roman" w:hAnsi="Times New Roman"/>
          <w:noProof/>
          <w:color w:val="000000"/>
          <w:sz w:val="28"/>
          <w:lang w:val="uk-UA"/>
        </w:rPr>
        <w:t xml:space="preserve">. </w:t>
      </w:r>
    </w:p>
    <w:p w:rsidR="004D38D0" w:rsidRPr="00B0699D" w:rsidRDefault="00F75BF6" w:rsidP="00474E8E">
      <w:pPr>
        <w:spacing w:after="0" w:line="360" w:lineRule="auto"/>
        <w:ind w:firstLine="709"/>
        <w:jc w:val="both"/>
        <w:rPr>
          <w:rFonts w:ascii="Times New Roman" w:hAnsi="Times New Roman"/>
          <w:noProof/>
          <w:color w:val="000000"/>
          <w:sz w:val="28"/>
          <w:lang w:val="uk-UA"/>
        </w:rPr>
      </w:pPr>
      <w:bookmarkStart w:id="9" w:name="_Toc228346843"/>
      <w:r w:rsidRPr="00B0699D">
        <w:rPr>
          <w:rFonts w:ascii="Times New Roman" w:hAnsi="Times New Roman"/>
          <w:noProof/>
          <w:color w:val="000000"/>
          <w:sz w:val="28"/>
          <w:lang w:val="uk-UA"/>
        </w:rPr>
        <w:br w:type="page"/>
      </w:r>
      <w:r w:rsidR="004D38D0" w:rsidRPr="00B0699D">
        <w:rPr>
          <w:rFonts w:ascii="Times New Roman" w:hAnsi="Times New Roman"/>
          <w:noProof/>
          <w:color w:val="000000"/>
          <w:sz w:val="28"/>
          <w:lang w:val="uk-UA"/>
        </w:rPr>
        <w:t>Висновки</w:t>
      </w:r>
      <w:bookmarkEnd w:id="9"/>
    </w:p>
    <w:p w:rsidR="00F75BF6" w:rsidRPr="00B0699D" w:rsidRDefault="00F75BF6" w:rsidP="00474E8E">
      <w:pPr>
        <w:spacing w:after="0" w:line="360" w:lineRule="auto"/>
        <w:ind w:firstLine="709"/>
        <w:jc w:val="both"/>
        <w:rPr>
          <w:rFonts w:ascii="Times New Roman" w:hAnsi="Times New Roman"/>
          <w:noProof/>
          <w:color w:val="000000"/>
          <w:sz w:val="28"/>
          <w:lang w:val="uk-UA"/>
        </w:rPr>
      </w:pP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Надзвичайно важливе місце в політичній системі Гетьманату посідав інститут гетьманства.</w:t>
      </w:r>
      <w:r w:rsidR="00935064"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Виборний гетьман мав право скликати Генеральну та старшинську раду, керувати ними. Гетьман очолював козацьку адміністрацію, за його підписом виходили найважливіші укази (універсали). Він очолював українське судочинство, виступаючи вищою апеляційною інстанцією, керував фінансами та стояв на чолі збройних сил. </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У реальній політиці широта гетьманських повноважень постійно коливалась, то розширюючись, то звужуючись за рахунок компетенцій Генеральної та старшинської рад, надаючи тим самим політичній системі Української держави характеру то республікансько-олігархічного режиму, то — авторитарного. </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Прагнення вищої козацької старшини обмежити владу гетьмана, перебравши частину його повноважень до своїх рук, як правило, знаходило підтримку в правлячих колах Російської держави. Так, договори 1659, 1669 та 1672 р. позбавляли гетьмана права самостійно, без узгодження з старшинською радою, здійснювати зовнішню політику, призначати та звільнювати з урядів вищу козацьку старшину, одноособово виносити ухвали з карних справ тощо. </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До першої половини ХVІІ ст. гетьмана затверджував польський уряд і він вважався легітимним. Гетьман визнавався нелегітимним, коли не отримав такого затвердження. Церемонія затвердження була такою: король виряджав до гетьмана посольство, котре доручало йому клейноди (атрибути) гетьманської влади: бунчук, булаву, хоругв і литаври. Щодо Б. Хмельницького, то його було вибрано гетьманом без цієї формальності, просто по волі народу. Ніхто його не затверджував аж до Зборівської умови, хоча усі держави і визнавали його повновладним гетьманом.</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Після Б.Хмельницького гетьмана затверджував російських уряд,</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котрий на зразок польського уряду посилав до гетьмана посольство: воно доручало гетьманові булаву, хоругв, бунчук і литаври.</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Вищу ланку виконавчої </w:t>
      </w:r>
      <w:r w:rsidR="00935064" w:rsidRPr="00B0699D">
        <w:rPr>
          <w:rFonts w:ascii="Times New Roman" w:hAnsi="Times New Roman"/>
          <w:noProof/>
          <w:color w:val="000000"/>
          <w:sz w:val="28"/>
          <w:lang w:val="uk-UA"/>
        </w:rPr>
        <w:t>влади</w:t>
      </w:r>
      <w:r w:rsidRPr="00B0699D">
        <w:rPr>
          <w:rFonts w:ascii="Times New Roman" w:hAnsi="Times New Roman"/>
          <w:noProof/>
          <w:color w:val="000000"/>
          <w:sz w:val="28"/>
          <w:lang w:val="uk-UA"/>
        </w:rPr>
        <w:t xml:space="preserve"> Гетьманату та одночасно вищого командного складу Війська Запорозького складали генеральні старшини. Вони ж були обов’язковими учасниками старшинських рад</w:t>
      </w:r>
      <w:r w:rsidR="003C741B"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На генеральних старшин покладалися й функції оперативного виконання гетьманських розпоряджень і постанов козацьких рад. Істотно зростала роль інституту генеральних старшин в часи міжгетьманства, коли один з генеральних старшин або їх колегія тимчасово перебирала до своїх рук управління країною, готуючи проведення нових гетьманських виборів. </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До складу генеральних старшин входили такі посадовці: генеральний обозний, генеральний писар, генеральний суддя, генеральний осавул, генеральний підскарбій, генеральний хорунжий та генеральний бунчужний. </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Центральними органами виконавчої державної</w:t>
      </w:r>
      <w:r w:rsidR="00DA1C30" w:rsidRPr="00B0699D">
        <w:rPr>
          <w:rFonts w:ascii="Times New Roman" w:hAnsi="Times New Roman"/>
          <w:noProof/>
          <w:color w:val="000000"/>
          <w:sz w:val="28"/>
          <w:lang w:val="uk-UA"/>
        </w:rPr>
        <w:t xml:space="preserve"> влади</w:t>
      </w:r>
      <w:r w:rsidRPr="00B0699D">
        <w:rPr>
          <w:rFonts w:ascii="Times New Roman" w:hAnsi="Times New Roman"/>
          <w:noProof/>
          <w:color w:val="000000"/>
          <w:sz w:val="28"/>
          <w:lang w:val="uk-UA"/>
        </w:rPr>
        <w:t xml:space="preserve"> виступали: Генеральна військова канцелярія та Генеральна скарбова канцелярія. Генеральна військова канцелярія поєднувала у собі функції кабінету міністрів, зовнішньополітичного відомства та військового міністерства. У ній виготовлялися гетьманські універсали, мобілізаційні накази, майнові пожалування, ордери на податкові пільги тощо. Через Генеральну канцелярію проходило дипломатичне листування, зносини гетьмана з полковою і сотенною старшиною та ін. </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Представниками гетьманської адміністрації на місцях виступала полкова старшина. Її очолював виборний полковник, який за своїм реальним впливом подеколи вважався навіть більш важливим, аніж генеральний старшина, принаймні представник нижчої групи гетьманського уряду. </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Прерогативи полковників охоплювали надзвичайно широке коло функціональних обов’язків у сфері адміністративної, військової, судової та фінансової </w:t>
      </w:r>
      <w:r w:rsidR="00DA1C30" w:rsidRPr="00B0699D">
        <w:rPr>
          <w:rFonts w:ascii="Times New Roman" w:hAnsi="Times New Roman"/>
          <w:noProof/>
          <w:color w:val="000000"/>
          <w:sz w:val="28"/>
          <w:lang w:val="uk-UA"/>
        </w:rPr>
        <w:t>влади</w:t>
      </w:r>
      <w:r w:rsidRPr="00B0699D">
        <w:rPr>
          <w:rFonts w:ascii="Times New Roman" w:hAnsi="Times New Roman"/>
          <w:noProof/>
          <w:color w:val="000000"/>
          <w:sz w:val="28"/>
          <w:lang w:val="uk-UA"/>
        </w:rPr>
        <w:t xml:space="preserve">, по суті дублюючи на нижчому рівні обов’язки гетьмана. </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Виконавчу гілку полкового рівня разом з полковниками утворювала виборна полкова старшина: обозний, суддя, осавул, писар, хорунжий. Їхні службові обов’язки повторювали прерогативи генеральних старшин відповідних звань. </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Право законодавчої ініціативи полковники поділяли із загальнополковими козацькими радами. Саме на них відбувалося обрання полковника та полкової старшини, розглядалися питання землекористування, оподаткування тощо. Модель адміністративного устрою полку копіювалася на сотенному рівні. Тут владні прерогативи концентрувалися на особі сотника, якому допомагали сотенні осавул, писар, хорунжий, а також курінні отамани. </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На місцевому рівні велике значення й надалі зберігали сотенні ради та, особливо, курінні сходки, на яких вирішувалися найважливіші справи життя козацької громади. </w:t>
      </w:r>
    </w:p>
    <w:p w:rsidR="004D38D0" w:rsidRPr="00B0699D" w:rsidRDefault="004D38D0"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Всі посади як полкового, так і сотенного рівня вважалися виборними, але цей принцип нерідко підмінювався призначенням на уряд вищою владною інстанцією. З входженням Гетьманату в структури Російської держави виборне начало козацької адміністрації замінювалося практикою прямого призначення старшин указами Сенату або імператорського кабінету. </w:t>
      </w:r>
    </w:p>
    <w:p w:rsidR="00935064" w:rsidRPr="00B0699D" w:rsidRDefault="00935064"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Отже, механізм функціонування політичної влади, сукупність принципів, методів і засобів здійснення керівництва суспільством визначають характер політичного режиму, а останній, згідно з панівною в політології думкою, маркує тип політичної системи. Механізм функціонування політичної влади в козацькій Україні дає змогу охарактеризувати політичний режим Гетьманату як республікансько-демократичний, що поєднував у собі елементи як прямої, так і опосередкованої демократії і базувався на полково-сотенному адміністративному устрої. Водночас звертає на себе увагу і той факт, що на різних етапах історичного розвитку співвідношення владних повноважень головних елементів політичної системи Гетьманату – Генеральної ради, Старшинської ради, гетьмана та вищої старшини (генеральної старшини та полковників) – не залишалося незмінним, а, навпаки, зазнавало принципових трансформацій. Внаслідок цього політичний режим в одних випадках набував ознак, характерних для авторитарного правління, в інших – олігархічного. </w:t>
      </w:r>
    </w:p>
    <w:p w:rsidR="00935064" w:rsidRPr="00B0699D" w:rsidRDefault="00935064" w:rsidP="00474E8E">
      <w:pPr>
        <w:spacing w:after="0" w:line="360" w:lineRule="auto"/>
        <w:ind w:firstLine="709"/>
        <w:jc w:val="both"/>
        <w:rPr>
          <w:rFonts w:ascii="Times New Roman" w:hAnsi="Times New Roman"/>
          <w:noProof/>
          <w:color w:val="000000"/>
          <w:sz w:val="28"/>
          <w:lang w:val="uk-UA"/>
        </w:rPr>
      </w:pPr>
      <w:r w:rsidRPr="00B0699D">
        <w:rPr>
          <w:rFonts w:ascii="Times New Roman" w:hAnsi="Times New Roman"/>
          <w:noProof/>
          <w:color w:val="000000"/>
          <w:sz w:val="28"/>
          <w:lang w:val="uk-UA"/>
        </w:rPr>
        <w:t>Характерна особливість еволюції політичної системи Гетьманату полягала в тому, що Українська держава лише дуже короткий час існувала як самодостатній політичний організм. Номінальна васальна залежність від влади російського царя, задекларована в Переяславсько-Московському договорі 1654 р., уже в жовтні 1659 р. трансформувалася в більш жорсткі форми залежності, а політична автономія Гетьманату поступилася місцем адміністративній, за якої зберігалося самоуправління при здійсненні внутрішньої політики та функціонування українських владних інституцій на основі власного законодавства та традицій. За таких умов сувереном виступав російський монарх і де-юре його санкція була необхідною умовою для набуття правової чинності найважливіших ухвал української влади – гетьманської елекції, поземельних відносин, призначення та скинення з генеральних урядів тощо. Хоча в умовах тимчасової лібералізації політичного курсу Москви щодо України і було можливим перебрання українською владою деяких з цих функцій на себе, загальна тенденція розвитку українсько-російських відносин другої половини Х</w:t>
      </w:r>
      <w:r w:rsidR="00AF6CDA" w:rsidRPr="00B0699D">
        <w:rPr>
          <w:rFonts w:ascii="Times New Roman" w:hAnsi="Times New Roman"/>
          <w:noProof/>
          <w:color w:val="000000"/>
          <w:sz w:val="28"/>
          <w:lang w:val="uk-UA"/>
        </w:rPr>
        <w:t>V</w:t>
      </w:r>
      <w:r w:rsidRPr="00B0699D">
        <w:rPr>
          <w:rFonts w:ascii="Times New Roman" w:hAnsi="Times New Roman"/>
          <w:noProof/>
          <w:color w:val="000000"/>
          <w:sz w:val="28"/>
          <w:lang w:val="uk-UA"/>
        </w:rPr>
        <w:t xml:space="preserve">ІІ ст. зумовлювала поступове, але невпинне обмеження автономії Гетьманату, звуження прерогатив гетьманської влади та місцевого самоврядування. </w:t>
      </w:r>
    </w:p>
    <w:p w:rsidR="000E368C" w:rsidRPr="00B0699D" w:rsidRDefault="00F75BF6" w:rsidP="00474E8E">
      <w:pPr>
        <w:spacing w:after="0" w:line="360" w:lineRule="auto"/>
        <w:ind w:firstLine="709"/>
        <w:jc w:val="both"/>
        <w:rPr>
          <w:rFonts w:ascii="Times New Roman" w:hAnsi="Times New Roman"/>
          <w:noProof/>
          <w:color w:val="000000"/>
          <w:sz w:val="28"/>
          <w:lang w:val="uk-UA"/>
        </w:rPr>
      </w:pPr>
      <w:bookmarkStart w:id="10" w:name="_Toc228346844"/>
      <w:r w:rsidRPr="00B0699D">
        <w:rPr>
          <w:rFonts w:ascii="Times New Roman" w:hAnsi="Times New Roman"/>
          <w:noProof/>
          <w:color w:val="000000"/>
          <w:sz w:val="28"/>
          <w:lang w:val="uk-UA"/>
        </w:rPr>
        <w:br w:type="page"/>
      </w:r>
      <w:r w:rsidR="00EB285A" w:rsidRPr="00B0699D">
        <w:rPr>
          <w:rFonts w:ascii="Times New Roman" w:hAnsi="Times New Roman"/>
          <w:noProof/>
          <w:color w:val="000000"/>
          <w:sz w:val="28"/>
          <w:lang w:val="uk-UA"/>
        </w:rPr>
        <w:t>Список використаної літератури</w:t>
      </w:r>
      <w:bookmarkEnd w:id="10"/>
    </w:p>
    <w:p w:rsidR="00F75BF6" w:rsidRPr="00B0699D" w:rsidRDefault="00F75BF6" w:rsidP="00474E8E">
      <w:pPr>
        <w:spacing w:after="0" w:line="360" w:lineRule="auto"/>
        <w:ind w:firstLine="709"/>
        <w:jc w:val="both"/>
        <w:rPr>
          <w:rFonts w:ascii="Times New Roman" w:hAnsi="Times New Roman"/>
          <w:noProof/>
          <w:color w:val="000000"/>
          <w:sz w:val="28"/>
          <w:lang w:val="uk-UA"/>
        </w:rPr>
      </w:pPr>
    </w:p>
    <w:p w:rsidR="00EB285A" w:rsidRPr="00B0699D" w:rsidRDefault="00EB285A"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Антонович Володимир. Про козацькі часи на Україні. – К.: Дніпро, 1991. –</w:t>
      </w:r>
      <w:r w:rsidR="00DA1C30"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104 с.</w:t>
      </w:r>
    </w:p>
    <w:p w:rsidR="000B3F18" w:rsidRPr="00B0699D" w:rsidRDefault="000B3F18"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Апанович О.М. Гетьмани України і кошові отамани Запорізької Січі. – К.,</w:t>
      </w:r>
      <w:r w:rsidR="007B1E87"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1993.</w:t>
      </w:r>
    </w:p>
    <w:p w:rsidR="00EB285A" w:rsidRPr="00B0699D" w:rsidRDefault="00EB285A"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Бойко І.Й. Держава і право Гетьманщини. – Львів, 2000.</w:t>
      </w:r>
    </w:p>
    <w:p w:rsidR="00DA1C30" w:rsidRPr="00B0699D" w:rsidRDefault="00DA1C30"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Голобуцький В. Запорізьке козацтво. – К., 1994.</w:t>
      </w:r>
    </w:p>
    <w:p w:rsidR="00DA1C30" w:rsidRPr="00B0699D" w:rsidRDefault="00DA1C30"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Грозовський І. Козацьке право // Право України</w:t>
      </w:r>
      <w:r w:rsidR="000B3F18" w:rsidRPr="00B0699D">
        <w:rPr>
          <w:rFonts w:ascii="Times New Roman" w:hAnsi="Times New Roman"/>
          <w:noProof/>
          <w:color w:val="000000"/>
          <w:sz w:val="28"/>
          <w:lang w:val="uk-UA"/>
        </w:rPr>
        <w:t>. –</w:t>
      </w:r>
      <w:r w:rsidRPr="00B0699D">
        <w:rPr>
          <w:rFonts w:ascii="Times New Roman" w:hAnsi="Times New Roman"/>
          <w:noProof/>
          <w:color w:val="000000"/>
          <w:sz w:val="28"/>
          <w:lang w:val="uk-UA"/>
        </w:rPr>
        <w:t xml:space="preserve"> 1997</w:t>
      </w:r>
      <w:r w:rsidR="000B3F18" w:rsidRPr="00B0699D">
        <w:rPr>
          <w:rFonts w:ascii="Times New Roman" w:hAnsi="Times New Roman"/>
          <w:noProof/>
          <w:color w:val="000000"/>
          <w:sz w:val="28"/>
          <w:lang w:val="uk-UA"/>
        </w:rPr>
        <w:t>. –</w:t>
      </w:r>
      <w:r w:rsidRPr="00B0699D">
        <w:rPr>
          <w:rFonts w:ascii="Times New Roman" w:hAnsi="Times New Roman"/>
          <w:noProof/>
          <w:color w:val="000000"/>
          <w:sz w:val="28"/>
          <w:lang w:val="uk-UA"/>
        </w:rPr>
        <w:t xml:space="preserve"> № 6.</w:t>
      </w:r>
      <w:r w:rsidR="000B3F18" w:rsidRPr="00B0699D">
        <w:rPr>
          <w:rFonts w:ascii="Times New Roman" w:hAnsi="Times New Roman"/>
          <w:noProof/>
          <w:color w:val="000000"/>
          <w:sz w:val="28"/>
          <w:lang w:val="uk-UA"/>
        </w:rPr>
        <w:t xml:space="preserve"> – С</w:t>
      </w:r>
      <w:r w:rsidRPr="00B0699D">
        <w:rPr>
          <w:rFonts w:ascii="Times New Roman" w:hAnsi="Times New Roman"/>
          <w:noProof/>
          <w:color w:val="000000"/>
          <w:sz w:val="28"/>
          <w:lang w:val="uk-UA"/>
        </w:rPr>
        <w:t>. 76-80.</w:t>
      </w:r>
    </w:p>
    <w:p w:rsidR="00DA1C30" w:rsidRPr="00B0699D" w:rsidRDefault="00DA1C30"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Грушевський М. Історія української козаччини// Вітчизна. – 1989.</w:t>
      </w:r>
      <w:r w:rsidR="000B3F18"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 №1-11</w:t>
      </w:r>
      <w:r w:rsidR="000B3F18" w:rsidRPr="00B0699D">
        <w:rPr>
          <w:rFonts w:ascii="Times New Roman" w:hAnsi="Times New Roman"/>
          <w:noProof/>
          <w:color w:val="000000"/>
          <w:sz w:val="28"/>
          <w:lang w:val="uk-UA"/>
        </w:rPr>
        <w:t>.</w:t>
      </w:r>
    </w:p>
    <w:p w:rsidR="00EB285A" w:rsidRPr="00B0699D" w:rsidRDefault="00EB285A"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Гуржій О.І. Право в Українській козацькій державі (Друга половина ХVІІ-ХVІІІ ст.).</w:t>
      </w:r>
      <w:r w:rsidR="007B1E87" w:rsidRPr="00B0699D">
        <w:rPr>
          <w:rFonts w:ascii="Times New Roman" w:hAnsi="Times New Roman"/>
          <w:noProof/>
          <w:color w:val="000000"/>
          <w:sz w:val="28"/>
          <w:lang w:val="uk-UA"/>
        </w:rPr>
        <w:t xml:space="preserve"> – </w:t>
      </w:r>
      <w:r w:rsidRPr="00B0699D">
        <w:rPr>
          <w:rFonts w:ascii="Times New Roman" w:hAnsi="Times New Roman"/>
          <w:noProof/>
          <w:color w:val="000000"/>
          <w:sz w:val="28"/>
          <w:lang w:val="uk-UA"/>
        </w:rPr>
        <w:t>К., 1994.</w:t>
      </w:r>
    </w:p>
    <w:p w:rsidR="00EB285A" w:rsidRPr="00B0699D" w:rsidRDefault="00EB285A"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Гуржій О. Українська козацька держава в другій половині XVII – XVIII ст.:</w:t>
      </w:r>
      <w:r w:rsidR="00DA1C30"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кордони, населення, право. – К., 1996.</w:t>
      </w:r>
    </w:p>
    <w:p w:rsidR="007B1E87" w:rsidRPr="00B0699D" w:rsidRDefault="007B1E87"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Горобець В. М. До питання про еволюцію гетьманської влади в Україні у першій половині XVIIІ ст. // УІЖ. – 1993. – №№ 2,3.</w:t>
      </w:r>
    </w:p>
    <w:p w:rsidR="00EB285A" w:rsidRPr="00B0699D" w:rsidRDefault="00EB285A"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Горобець В. Політичний устрій українських земель другої половини XVII – XVIII ст. – К., 2000.</w:t>
      </w:r>
    </w:p>
    <w:p w:rsidR="00EB285A" w:rsidRPr="00B0699D" w:rsidRDefault="00EB285A"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Гуржій О.І., Чухліб Т.В. Гетьманська Україна. – К., 2000.</w:t>
      </w:r>
    </w:p>
    <w:p w:rsidR="00EB285A" w:rsidRPr="00B0699D" w:rsidRDefault="00EB285A"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Дядиченко В. Нариси суспільно-політичного устрою Лівобережної</w:t>
      </w:r>
      <w:r w:rsidR="00DA1C30"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України кінця Х</w:t>
      </w:r>
      <w:r w:rsidR="00DA1C30" w:rsidRPr="00B0699D">
        <w:rPr>
          <w:rFonts w:ascii="Times New Roman" w:hAnsi="Times New Roman"/>
          <w:noProof/>
          <w:color w:val="000000"/>
          <w:sz w:val="28"/>
          <w:lang w:val="uk-UA"/>
        </w:rPr>
        <w:t>V</w:t>
      </w:r>
      <w:r w:rsidRPr="00B0699D">
        <w:rPr>
          <w:rFonts w:ascii="Times New Roman" w:hAnsi="Times New Roman"/>
          <w:noProof/>
          <w:color w:val="000000"/>
          <w:sz w:val="28"/>
          <w:lang w:val="uk-UA"/>
        </w:rPr>
        <w:t>ІІ-початку Х</w:t>
      </w:r>
      <w:r w:rsidR="00DA1C30" w:rsidRPr="00B0699D">
        <w:rPr>
          <w:rFonts w:ascii="Times New Roman" w:hAnsi="Times New Roman"/>
          <w:noProof/>
          <w:color w:val="000000"/>
          <w:sz w:val="28"/>
          <w:lang w:val="uk-UA"/>
        </w:rPr>
        <w:t>V</w:t>
      </w:r>
      <w:r w:rsidRPr="00B0699D">
        <w:rPr>
          <w:rFonts w:ascii="Times New Roman" w:hAnsi="Times New Roman"/>
          <w:noProof/>
          <w:color w:val="000000"/>
          <w:sz w:val="28"/>
          <w:lang w:val="uk-UA"/>
        </w:rPr>
        <w:t>ІІІ ст. – К., 1959.</w:t>
      </w:r>
    </w:p>
    <w:p w:rsidR="00DA1C30" w:rsidRPr="00B0699D" w:rsidRDefault="00DA1C30"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Д’яконіхін А.В. Походження та еволюція гетьманської влади в Україні // Історичні записки: Збірник наукових праць. Вип. 6. – Луганськ: Вид-во СНУ ім. В.Даля, 2005. – С. 48-53.</w:t>
      </w:r>
    </w:p>
    <w:p w:rsidR="007B1E87" w:rsidRPr="00B0699D" w:rsidRDefault="007B1E87"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Запорозьке козацтво в українській історії, культурі та національній свідомості. – К., Запорожжя, 1997.</w:t>
      </w:r>
    </w:p>
    <w:p w:rsidR="000B3F18" w:rsidRPr="00B0699D" w:rsidRDefault="000B3F18"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Історія держави та права України /за ред. П. Музиченка. – Київ. – 1999.</w:t>
      </w:r>
    </w:p>
    <w:p w:rsidR="000B3F18" w:rsidRPr="00B0699D" w:rsidRDefault="000B3F18"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Історія України /за ред. В.А Смолія. – К., 1997.</w:t>
      </w:r>
    </w:p>
    <w:p w:rsidR="000B3F18" w:rsidRPr="00B0699D" w:rsidRDefault="000B3F18"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Історія українського війська (від княжих часів до 20-х років XX ст.). Львів,1992.— С. 171.</w:t>
      </w:r>
    </w:p>
    <w:p w:rsidR="00EB285A" w:rsidRPr="00B0699D" w:rsidRDefault="00EB285A"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Кривошея В.В. Національна еліта Гетьманщини (Персональний склад і</w:t>
      </w:r>
      <w:r w:rsidR="00DA1C30"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генеалогія). 1648-1782. – К., 1998.</w:t>
      </w:r>
    </w:p>
    <w:p w:rsidR="00EB285A" w:rsidRPr="00B0699D" w:rsidRDefault="00EB285A"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Кухта Б.Л. З історії української політичної думки. Текст лекцій: Навчальний посібник</w:t>
      </w:r>
      <w:r w:rsidR="007B1E87" w:rsidRPr="00B0699D">
        <w:rPr>
          <w:rFonts w:ascii="Times New Roman" w:hAnsi="Times New Roman"/>
          <w:noProof/>
          <w:color w:val="000000"/>
          <w:sz w:val="28"/>
          <w:lang w:val="uk-UA"/>
        </w:rPr>
        <w:t>.</w:t>
      </w:r>
      <w:r w:rsidRPr="00B0699D">
        <w:rPr>
          <w:rFonts w:ascii="Times New Roman" w:hAnsi="Times New Roman"/>
          <w:noProof/>
          <w:color w:val="000000"/>
          <w:sz w:val="28"/>
          <w:lang w:val="uk-UA"/>
        </w:rPr>
        <w:t xml:space="preserve"> – К.: Генеза, 1994. – 240 с.</w:t>
      </w:r>
    </w:p>
    <w:p w:rsidR="007B1E87" w:rsidRPr="00B0699D" w:rsidRDefault="007B1E87"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Мицик Ю.А. Феномен Українського козацтва і перспективні напрямки його дослідження// Історія. Матеріали III Міжнародного конгресу україністів. – Ч. I. – Харків 1996. – С. 62.</w:t>
      </w:r>
    </w:p>
    <w:p w:rsidR="00EB285A" w:rsidRPr="00B0699D" w:rsidRDefault="00EB285A"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Панашенко В.В. Полкове управління в Україні (середина Х</w:t>
      </w:r>
      <w:r w:rsidR="00DA1C30" w:rsidRPr="00B0699D">
        <w:rPr>
          <w:rFonts w:ascii="Times New Roman" w:hAnsi="Times New Roman"/>
          <w:noProof/>
          <w:color w:val="000000"/>
          <w:sz w:val="28"/>
          <w:lang w:val="uk-UA"/>
        </w:rPr>
        <w:t>V</w:t>
      </w:r>
      <w:r w:rsidRPr="00B0699D">
        <w:rPr>
          <w:rFonts w:ascii="Times New Roman" w:hAnsi="Times New Roman"/>
          <w:noProof/>
          <w:color w:val="000000"/>
          <w:sz w:val="28"/>
          <w:lang w:val="uk-UA"/>
        </w:rPr>
        <w:t>ІІ-Х</w:t>
      </w:r>
      <w:r w:rsidR="00DA1C30" w:rsidRPr="00B0699D">
        <w:rPr>
          <w:rFonts w:ascii="Times New Roman" w:hAnsi="Times New Roman"/>
          <w:noProof/>
          <w:color w:val="000000"/>
          <w:sz w:val="28"/>
          <w:lang w:val="uk-UA"/>
        </w:rPr>
        <w:t>V</w:t>
      </w:r>
      <w:r w:rsidRPr="00B0699D">
        <w:rPr>
          <w:rFonts w:ascii="Times New Roman" w:hAnsi="Times New Roman"/>
          <w:noProof/>
          <w:color w:val="000000"/>
          <w:sz w:val="28"/>
          <w:lang w:val="uk-UA"/>
        </w:rPr>
        <w:t>ІІІ ст.).</w:t>
      </w:r>
      <w:r w:rsidR="00DA1C30" w:rsidRPr="00B0699D">
        <w:rPr>
          <w:rFonts w:ascii="Times New Roman" w:hAnsi="Times New Roman"/>
          <w:noProof/>
          <w:color w:val="000000"/>
          <w:sz w:val="28"/>
          <w:lang w:val="uk-UA"/>
        </w:rPr>
        <w:t xml:space="preserve"> – </w:t>
      </w:r>
      <w:r w:rsidRPr="00B0699D">
        <w:rPr>
          <w:rFonts w:ascii="Times New Roman" w:hAnsi="Times New Roman"/>
          <w:noProof/>
          <w:color w:val="000000"/>
          <w:sz w:val="28"/>
          <w:lang w:val="uk-UA"/>
        </w:rPr>
        <w:t>К., 1997.</w:t>
      </w:r>
    </w:p>
    <w:p w:rsidR="00EB285A" w:rsidRPr="00B0699D" w:rsidRDefault="00EB285A"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Падох Я. Грунтове судочинство на Лівобережній Україні у другій</w:t>
      </w:r>
      <w:r w:rsidR="00DA1C30"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половині Х</w:t>
      </w:r>
      <w:r w:rsidR="00DA1C30" w:rsidRPr="00B0699D">
        <w:rPr>
          <w:rFonts w:ascii="Times New Roman" w:hAnsi="Times New Roman"/>
          <w:noProof/>
          <w:color w:val="000000"/>
          <w:sz w:val="28"/>
          <w:lang w:val="uk-UA"/>
        </w:rPr>
        <w:t>V</w:t>
      </w:r>
      <w:r w:rsidRPr="00B0699D">
        <w:rPr>
          <w:rFonts w:ascii="Times New Roman" w:hAnsi="Times New Roman"/>
          <w:noProof/>
          <w:color w:val="000000"/>
          <w:sz w:val="28"/>
          <w:lang w:val="uk-UA"/>
        </w:rPr>
        <w:t>ІІ-Х</w:t>
      </w:r>
      <w:r w:rsidR="00DA1C30" w:rsidRPr="00B0699D">
        <w:rPr>
          <w:rFonts w:ascii="Times New Roman" w:hAnsi="Times New Roman"/>
          <w:noProof/>
          <w:color w:val="000000"/>
          <w:sz w:val="28"/>
          <w:lang w:val="uk-UA"/>
        </w:rPr>
        <w:t>V</w:t>
      </w:r>
      <w:r w:rsidRPr="00B0699D">
        <w:rPr>
          <w:rFonts w:ascii="Times New Roman" w:hAnsi="Times New Roman"/>
          <w:noProof/>
          <w:color w:val="000000"/>
          <w:sz w:val="28"/>
          <w:lang w:val="uk-UA"/>
        </w:rPr>
        <w:t>ІІІ ст. – Львів, 1994.</w:t>
      </w:r>
    </w:p>
    <w:p w:rsidR="00EB285A" w:rsidRPr="00B0699D" w:rsidRDefault="00EB285A"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Панашенко В.В. Соціальна еліта Гетьманщини (друга половина Х</w:t>
      </w:r>
      <w:r w:rsidR="00DA1C30" w:rsidRPr="00B0699D">
        <w:rPr>
          <w:rFonts w:ascii="Times New Roman" w:hAnsi="Times New Roman"/>
          <w:noProof/>
          <w:color w:val="000000"/>
          <w:sz w:val="28"/>
          <w:lang w:val="uk-UA"/>
        </w:rPr>
        <w:t>V</w:t>
      </w:r>
      <w:r w:rsidRPr="00B0699D">
        <w:rPr>
          <w:rFonts w:ascii="Times New Roman" w:hAnsi="Times New Roman"/>
          <w:noProof/>
          <w:color w:val="000000"/>
          <w:sz w:val="28"/>
          <w:lang w:val="uk-UA"/>
        </w:rPr>
        <w:t>ІІ</w:t>
      </w:r>
      <w:r w:rsidR="00DA1C30" w:rsidRPr="00B0699D">
        <w:rPr>
          <w:rFonts w:ascii="Times New Roman" w:hAnsi="Times New Roman"/>
          <w:noProof/>
          <w:color w:val="000000"/>
          <w:sz w:val="28"/>
          <w:lang w:val="uk-UA"/>
        </w:rPr>
        <w:t xml:space="preserve"> – </w:t>
      </w:r>
      <w:r w:rsidRPr="00B0699D">
        <w:rPr>
          <w:rFonts w:ascii="Times New Roman" w:hAnsi="Times New Roman"/>
          <w:noProof/>
          <w:color w:val="000000"/>
          <w:sz w:val="28"/>
          <w:lang w:val="uk-UA"/>
        </w:rPr>
        <w:t>Х</w:t>
      </w:r>
      <w:r w:rsidR="00DA1C30" w:rsidRPr="00B0699D">
        <w:rPr>
          <w:rFonts w:ascii="Times New Roman" w:hAnsi="Times New Roman"/>
          <w:noProof/>
          <w:color w:val="000000"/>
          <w:sz w:val="28"/>
          <w:lang w:val="uk-UA"/>
        </w:rPr>
        <w:t>V</w:t>
      </w:r>
      <w:r w:rsidRPr="00B0699D">
        <w:rPr>
          <w:rFonts w:ascii="Times New Roman" w:hAnsi="Times New Roman"/>
          <w:noProof/>
          <w:color w:val="000000"/>
          <w:sz w:val="28"/>
          <w:lang w:val="uk-UA"/>
        </w:rPr>
        <w:t>ІІІ ст.). – К., 1995.</w:t>
      </w:r>
    </w:p>
    <w:p w:rsidR="00EB285A" w:rsidRPr="00B0699D" w:rsidRDefault="00EB285A"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Пашук А.Я. Суд і судочинство на Лівобережній Україні в Х</w:t>
      </w:r>
      <w:r w:rsidR="00DA1C30" w:rsidRPr="00B0699D">
        <w:rPr>
          <w:rFonts w:ascii="Times New Roman" w:hAnsi="Times New Roman"/>
          <w:noProof/>
          <w:color w:val="000000"/>
          <w:sz w:val="28"/>
          <w:lang w:val="uk-UA"/>
        </w:rPr>
        <w:t>V</w:t>
      </w:r>
      <w:r w:rsidRPr="00B0699D">
        <w:rPr>
          <w:rFonts w:ascii="Times New Roman" w:hAnsi="Times New Roman"/>
          <w:noProof/>
          <w:color w:val="000000"/>
          <w:sz w:val="28"/>
          <w:lang w:val="uk-UA"/>
        </w:rPr>
        <w:t>ІІ-Х</w:t>
      </w:r>
      <w:r w:rsidR="00DA1C30" w:rsidRPr="00B0699D">
        <w:rPr>
          <w:rFonts w:ascii="Times New Roman" w:hAnsi="Times New Roman"/>
          <w:noProof/>
          <w:color w:val="000000"/>
          <w:sz w:val="28"/>
          <w:lang w:val="uk-UA"/>
        </w:rPr>
        <w:t>V</w:t>
      </w:r>
      <w:r w:rsidRPr="00B0699D">
        <w:rPr>
          <w:rFonts w:ascii="Times New Roman" w:hAnsi="Times New Roman"/>
          <w:noProof/>
          <w:color w:val="000000"/>
          <w:sz w:val="28"/>
          <w:lang w:val="uk-UA"/>
        </w:rPr>
        <w:t>ІІІ ст.</w:t>
      </w:r>
      <w:r w:rsidR="00DA1C30"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(1648-1782). – Львів, 1967.</w:t>
      </w:r>
    </w:p>
    <w:p w:rsidR="000B3F18" w:rsidRPr="00B0699D" w:rsidRDefault="000B3F18"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 xml:space="preserve">Слабченко М. Соціально-правова організація Січі Запорозької. – К., 1997. – С. 26. </w:t>
      </w:r>
    </w:p>
    <w:p w:rsidR="007B1E87" w:rsidRPr="00B0699D" w:rsidRDefault="007B1E87"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Смолій В.А. Феномен українського козацтва в загальноєвропейському контексті // Укр.іст.журнал. – 1991. – №5.</w:t>
      </w:r>
    </w:p>
    <w:p w:rsidR="00AF6CDA" w:rsidRPr="00B0699D" w:rsidRDefault="000B3F18"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Українське козацтво: Мала енциклопедія. – К.– Запоріжжя, 2002. – С. 42 – 43</w:t>
      </w:r>
      <w:r w:rsidR="00AF6CDA" w:rsidRPr="00B0699D">
        <w:rPr>
          <w:rFonts w:ascii="Times New Roman" w:hAnsi="Times New Roman"/>
          <w:noProof/>
          <w:color w:val="000000"/>
          <w:sz w:val="28"/>
          <w:lang w:val="uk-UA"/>
        </w:rPr>
        <w:t>.</w:t>
      </w:r>
    </w:p>
    <w:p w:rsidR="000B3F18" w:rsidRPr="00B0699D" w:rsidRDefault="000B3F18"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Щербак В.О. Історія українського козацтва: нариси у 2 т.\ Редкол: Смолій</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 xml:space="preserve">та інші. – Київ.: Вид.дім «Києво-Могилянська академія», 2006. – Т.1. – 800 с. </w:t>
      </w:r>
    </w:p>
    <w:p w:rsidR="000B3F18" w:rsidRPr="00B0699D" w:rsidRDefault="000B3F18"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Щербак В. О.</w:t>
      </w:r>
      <w:r w:rsidR="00474E8E" w:rsidRPr="00B0699D">
        <w:rPr>
          <w:rFonts w:ascii="Times New Roman" w:hAnsi="Times New Roman"/>
          <w:noProof/>
          <w:color w:val="000000"/>
          <w:sz w:val="28"/>
          <w:lang w:val="uk-UA"/>
        </w:rPr>
        <w:t xml:space="preserve"> </w:t>
      </w:r>
      <w:r w:rsidRPr="00B0699D">
        <w:rPr>
          <w:rFonts w:ascii="Times New Roman" w:hAnsi="Times New Roman"/>
          <w:noProof/>
          <w:color w:val="000000"/>
          <w:sz w:val="28"/>
          <w:lang w:val="uk-UA"/>
        </w:rPr>
        <w:t>Запорізька Січ як фактор консолідації українського козацтва до середини XVII ст. // УІЖ. — 1995. — № 5. — С. 66.</w:t>
      </w:r>
    </w:p>
    <w:p w:rsidR="00BC6668" w:rsidRPr="00B0699D" w:rsidRDefault="000B3F18" w:rsidP="00F75BF6">
      <w:pPr>
        <w:numPr>
          <w:ilvl w:val="0"/>
          <w:numId w:val="21"/>
        </w:numPr>
        <w:spacing w:after="0" w:line="360" w:lineRule="auto"/>
        <w:ind w:left="0" w:firstLine="0"/>
        <w:jc w:val="both"/>
        <w:rPr>
          <w:rFonts w:ascii="Times New Roman" w:hAnsi="Times New Roman"/>
          <w:noProof/>
          <w:color w:val="000000"/>
          <w:sz w:val="28"/>
          <w:lang w:val="uk-UA"/>
        </w:rPr>
      </w:pPr>
      <w:r w:rsidRPr="00B0699D">
        <w:rPr>
          <w:rFonts w:ascii="Times New Roman" w:hAnsi="Times New Roman"/>
          <w:noProof/>
          <w:color w:val="000000"/>
          <w:sz w:val="28"/>
          <w:lang w:val="uk-UA"/>
        </w:rPr>
        <w:t>Яворницький Д. Історія запорізьких козаків. – К., 1990-1991. – Т.1-3.</w:t>
      </w:r>
      <w:bookmarkStart w:id="11" w:name="_GoBack"/>
      <w:bookmarkEnd w:id="11"/>
    </w:p>
    <w:sectPr w:rsidR="00BC6668" w:rsidRPr="00B0699D" w:rsidSect="00474E8E">
      <w:footerReference w:type="default" r:id="rId8"/>
      <w:pgSz w:w="11907" w:h="16840" w:code="9"/>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70F8" w:rsidRDefault="004670F8" w:rsidP="00EB285A">
      <w:pPr>
        <w:spacing w:after="0" w:line="240" w:lineRule="auto"/>
      </w:pPr>
      <w:r>
        <w:separator/>
      </w:r>
    </w:p>
  </w:endnote>
  <w:endnote w:type="continuationSeparator" w:id="0">
    <w:p w:rsidR="004670F8" w:rsidRDefault="004670F8" w:rsidP="00EB28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6CDA" w:rsidRDefault="00E86604">
    <w:pPr>
      <w:pStyle w:val="a8"/>
      <w:jc w:val="right"/>
    </w:pPr>
    <w:r>
      <w:rPr>
        <w:noProof/>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70F8" w:rsidRDefault="004670F8" w:rsidP="00EB285A">
      <w:pPr>
        <w:spacing w:after="0" w:line="240" w:lineRule="auto"/>
      </w:pPr>
      <w:r>
        <w:separator/>
      </w:r>
    </w:p>
  </w:footnote>
  <w:footnote w:type="continuationSeparator" w:id="0">
    <w:p w:rsidR="004670F8" w:rsidRDefault="004670F8" w:rsidP="00EB28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4C4635"/>
    <w:multiLevelType w:val="multilevel"/>
    <w:tmpl w:val="1FE4F198"/>
    <w:lvl w:ilvl="0">
      <w:start w:val="1"/>
      <w:numFmt w:val="bullet"/>
      <w:lvlText w:val=""/>
      <w:lvlJc w:val="left"/>
      <w:pPr>
        <w:tabs>
          <w:tab w:val="num" w:pos="1635"/>
        </w:tabs>
        <w:ind w:left="1635" w:hanging="915"/>
      </w:pPr>
      <w:rPr>
        <w:rFonts w:ascii="Symbol" w:hAnsi="Symbol" w:hint="default"/>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
    <w:nsid w:val="06103B1F"/>
    <w:multiLevelType w:val="multilevel"/>
    <w:tmpl w:val="C6009654"/>
    <w:lvl w:ilvl="0">
      <w:start w:val="1"/>
      <w:numFmt w:val="decimal"/>
      <w:lvlText w:val="%1."/>
      <w:lvlJc w:val="left"/>
      <w:pPr>
        <w:ind w:left="570" w:hanging="570"/>
      </w:pPr>
      <w:rPr>
        <w:rFonts w:cs="Times New Roman" w:hint="default"/>
      </w:rPr>
    </w:lvl>
    <w:lvl w:ilvl="1">
      <w:start w:val="1"/>
      <w:numFmt w:val="decimal"/>
      <w:lvlText w:val="%1.%2."/>
      <w:lvlJc w:val="left"/>
      <w:pPr>
        <w:ind w:left="1440" w:hanging="720"/>
      </w:pPr>
      <w:rPr>
        <w:rFonts w:cs="Times New Roman" w:hint="default"/>
      </w:rPr>
    </w:lvl>
    <w:lvl w:ilvl="2">
      <w:start w:val="1"/>
      <w:numFmt w:val="decimal"/>
      <w:lvlText w:val="%1.%2.%3."/>
      <w:lvlJc w:val="left"/>
      <w:pPr>
        <w:ind w:left="2520" w:hanging="1080"/>
      </w:pPr>
      <w:rPr>
        <w:rFonts w:cs="Times New Roman" w:hint="default"/>
      </w:rPr>
    </w:lvl>
    <w:lvl w:ilvl="3">
      <w:start w:val="1"/>
      <w:numFmt w:val="decimal"/>
      <w:lvlText w:val="%1.%2.%3.%4."/>
      <w:lvlJc w:val="left"/>
      <w:pPr>
        <w:ind w:left="3240" w:hanging="1080"/>
      </w:pPr>
      <w:rPr>
        <w:rFonts w:cs="Times New Roman" w:hint="default"/>
      </w:rPr>
    </w:lvl>
    <w:lvl w:ilvl="4">
      <w:start w:val="1"/>
      <w:numFmt w:val="decimal"/>
      <w:lvlText w:val="%1.%2.%3.%4.%5."/>
      <w:lvlJc w:val="left"/>
      <w:pPr>
        <w:ind w:left="4320" w:hanging="1440"/>
      </w:pPr>
      <w:rPr>
        <w:rFonts w:cs="Times New Roman" w:hint="default"/>
      </w:rPr>
    </w:lvl>
    <w:lvl w:ilvl="5">
      <w:start w:val="1"/>
      <w:numFmt w:val="decimal"/>
      <w:lvlText w:val="%1.%2.%3.%4.%5.%6."/>
      <w:lvlJc w:val="left"/>
      <w:pPr>
        <w:ind w:left="5400" w:hanging="1800"/>
      </w:pPr>
      <w:rPr>
        <w:rFonts w:cs="Times New Roman" w:hint="default"/>
      </w:rPr>
    </w:lvl>
    <w:lvl w:ilvl="6">
      <w:start w:val="1"/>
      <w:numFmt w:val="decimal"/>
      <w:lvlText w:val="%1.%2.%3.%4.%5.%6.%7."/>
      <w:lvlJc w:val="left"/>
      <w:pPr>
        <w:ind w:left="6480" w:hanging="2160"/>
      </w:pPr>
      <w:rPr>
        <w:rFonts w:cs="Times New Roman" w:hint="default"/>
      </w:rPr>
    </w:lvl>
    <w:lvl w:ilvl="7">
      <w:start w:val="1"/>
      <w:numFmt w:val="decimal"/>
      <w:lvlText w:val="%1.%2.%3.%4.%5.%6.%7.%8."/>
      <w:lvlJc w:val="left"/>
      <w:pPr>
        <w:ind w:left="7200" w:hanging="2160"/>
      </w:pPr>
      <w:rPr>
        <w:rFonts w:cs="Times New Roman" w:hint="default"/>
      </w:rPr>
    </w:lvl>
    <w:lvl w:ilvl="8">
      <w:start w:val="1"/>
      <w:numFmt w:val="decimal"/>
      <w:lvlText w:val="%1.%2.%3.%4.%5.%6.%7.%8.%9."/>
      <w:lvlJc w:val="left"/>
      <w:pPr>
        <w:ind w:left="8280" w:hanging="2520"/>
      </w:pPr>
      <w:rPr>
        <w:rFonts w:cs="Times New Roman" w:hint="default"/>
      </w:rPr>
    </w:lvl>
  </w:abstractNum>
  <w:abstractNum w:abstractNumId="2">
    <w:nsid w:val="0F6A7CB4"/>
    <w:multiLevelType w:val="hybridMultilevel"/>
    <w:tmpl w:val="B08ED5BA"/>
    <w:lvl w:ilvl="0" w:tplc="0419000F">
      <w:start w:val="1"/>
      <w:numFmt w:val="decimal"/>
      <w:lvlText w:val="%1."/>
      <w:lvlJc w:val="left"/>
      <w:pPr>
        <w:ind w:left="2298" w:hanging="360"/>
      </w:pPr>
      <w:rPr>
        <w:rFonts w:cs="Times New Roman"/>
      </w:rPr>
    </w:lvl>
    <w:lvl w:ilvl="1" w:tplc="04190019" w:tentative="1">
      <w:start w:val="1"/>
      <w:numFmt w:val="lowerLetter"/>
      <w:lvlText w:val="%2."/>
      <w:lvlJc w:val="left"/>
      <w:pPr>
        <w:ind w:left="3018" w:hanging="360"/>
      </w:pPr>
      <w:rPr>
        <w:rFonts w:cs="Times New Roman"/>
      </w:rPr>
    </w:lvl>
    <w:lvl w:ilvl="2" w:tplc="0419001B" w:tentative="1">
      <w:start w:val="1"/>
      <w:numFmt w:val="lowerRoman"/>
      <w:lvlText w:val="%3."/>
      <w:lvlJc w:val="right"/>
      <w:pPr>
        <w:ind w:left="3738" w:hanging="180"/>
      </w:pPr>
      <w:rPr>
        <w:rFonts w:cs="Times New Roman"/>
      </w:rPr>
    </w:lvl>
    <w:lvl w:ilvl="3" w:tplc="0419000F" w:tentative="1">
      <w:start w:val="1"/>
      <w:numFmt w:val="decimal"/>
      <w:lvlText w:val="%4."/>
      <w:lvlJc w:val="left"/>
      <w:pPr>
        <w:ind w:left="4458" w:hanging="360"/>
      </w:pPr>
      <w:rPr>
        <w:rFonts w:cs="Times New Roman"/>
      </w:rPr>
    </w:lvl>
    <w:lvl w:ilvl="4" w:tplc="04190019" w:tentative="1">
      <w:start w:val="1"/>
      <w:numFmt w:val="lowerLetter"/>
      <w:lvlText w:val="%5."/>
      <w:lvlJc w:val="left"/>
      <w:pPr>
        <w:ind w:left="5178" w:hanging="360"/>
      </w:pPr>
      <w:rPr>
        <w:rFonts w:cs="Times New Roman"/>
      </w:rPr>
    </w:lvl>
    <w:lvl w:ilvl="5" w:tplc="0419001B" w:tentative="1">
      <w:start w:val="1"/>
      <w:numFmt w:val="lowerRoman"/>
      <w:lvlText w:val="%6."/>
      <w:lvlJc w:val="right"/>
      <w:pPr>
        <w:ind w:left="5898" w:hanging="180"/>
      </w:pPr>
      <w:rPr>
        <w:rFonts w:cs="Times New Roman"/>
      </w:rPr>
    </w:lvl>
    <w:lvl w:ilvl="6" w:tplc="0419000F" w:tentative="1">
      <w:start w:val="1"/>
      <w:numFmt w:val="decimal"/>
      <w:lvlText w:val="%7."/>
      <w:lvlJc w:val="left"/>
      <w:pPr>
        <w:ind w:left="6618" w:hanging="360"/>
      </w:pPr>
      <w:rPr>
        <w:rFonts w:cs="Times New Roman"/>
      </w:rPr>
    </w:lvl>
    <w:lvl w:ilvl="7" w:tplc="04190019" w:tentative="1">
      <w:start w:val="1"/>
      <w:numFmt w:val="lowerLetter"/>
      <w:lvlText w:val="%8."/>
      <w:lvlJc w:val="left"/>
      <w:pPr>
        <w:ind w:left="7338" w:hanging="360"/>
      </w:pPr>
      <w:rPr>
        <w:rFonts w:cs="Times New Roman"/>
      </w:rPr>
    </w:lvl>
    <w:lvl w:ilvl="8" w:tplc="0419001B" w:tentative="1">
      <w:start w:val="1"/>
      <w:numFmt w:val="lowerRoman"/>
      <w:lvlText w:val="%9."/>
      <w:lvlJc w:val="right"/>
      <w:pPr>
        <w:ind w:left="8058" w:hanging="180"/>
      </w:pPr>
      <w:rPr>
        <w:rFonts w:cs="Times New Roman"/>
      </w:rPr>
    </w:lvl>
  </w:abstractNum>
  <w:abstractNum w:abstractNumId="3">
    <w:nsid w:val="180244BD"/>
    <w:multiLevelType w:val="hybridMultilevel"/>
    <w:tmpl w:val="85E4FEA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199A5FC6"/>
    <w:multiLevelType w:val="hybridMultilevel"/>
    <w:tmpl w:val="E012B00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1E357E84"/>
    <w:multiLevelType w:val="hybridMultilevel"/>
    <w:tmpl w:val="B9FA20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F8B5559"/>
    <w:multiLevelType w:val="hybridMultilevel"/>
    <w:tmpl w:val="F20EAADE"/>
    <w:lvl w:ilvl="0" w:tplc="0419000F">
      <w:start w:val="1"/>
      <w:numFmt w:val="decimal"/>
      <w:lvlText w:val="%1."/>
      <w:lvlJc w:val="left"/>
      <w:pPr>
        <w:ind w:left="1149" w:hanging="360"/>
      </w:pPr>
      <w:rPr>
        <w:rFonts w:cs="Times New Roman"/>
      </w:rPr>
    </w:lvl>
    <w:lvl w:ilvl="1" w:tplc="04190019" w:tentative="1">
      <w:start w:val="1"/>
      <w:numFmt w:val="lowerLetter"/>
      <w:lvlText w:val="%2."/>
      <w:lvlJc w:val="left"/>
      <w:pPr>
        <w:ind w:left="1869" w:hanging="360"/>
      </w:pPr>
      <w:rPr>
        <w:rFonts w:cs="Times New Roman"/>
      </w:rPr>
    </w:lvl>
    <w:lvl w:ilvl="2" w:tplc="0419001B" w:tentative="1">
      <w:start w:val="1"/>
      <w:numFmt w:val="lowerRoman"/>
      <w:lvlText w:val="%3."/>
      <w:lvlJc w:val="right"/>
      <w:pPr>
        <w:ind w:left="2589" w:hanging="180"/>
      </w:pPr>
      <w:rPr>
        <w:rFonts w:cs="Times New Roman"/>
      </w:rPr>
    </w:lvl>
    <w:lvl w:ilvl="3" w:tplc="0419000F" w:tentative="1">
      <w:start w:val="1"/>
      <w:numFmt w:val="decimal"/>
      <w:lvlText w:val="%4."/>
      <w:lvlJc w:val="left"/>
      <w:pPr>
        <w:ind w:left="3309" w:hanging="360"/>
      </w:pPr>
      <w:rPr>
        <w:rFonts w:cs="Times New Roman"/>
      </w:rPr>
    </w:lvl>
    <w:lvl w:ilvl="4" w:tplc="04190019" w:tentative="1">
      <w:start w:val="1"/>
      <w:numFmt w:val="lowerLetter"/>
      <w:lvlText w:val="%5."/>
      <w:lvlJc w:val="left"/>
      <w:pPr>
        <w:ind w:left="4029" w:hanging="360"/>
      </w:pPr>
      <w:rPr>
        <w:rFonts w:cs="Times New Roman"/>
      </w:rPr>
    </w:lvl>
    <w:lvl w:ilvl="5" w:tplc="0419001B" w:tentative="1">
      <w:start w:val="1"/>
      <w:numFmt w:val="lowerRoman"/>
      <w:lvlText w:val="%6."/>
      <w:lvlJc w:val="right"/>
      <w:pPr>
        <w:ind w:left="4749" w:hanging="180"/>
      </w:pPr>
      <w:rPr>
        <w:rFonts w:cs="Times New Roman"/>
      </w:rPr>
    </w:lvl>
    <w:lvl w:ilvl="6" w:tplc="0419000F" w:tentative="1">
      <w:start w:val="1"/>
      <w:numFmt w:val="decimal"/>
      <w:lvlText w:val="%7."/>
      <w:lvlJc w:val="left"/>
      <w:pPr>
        <w:ind w:left="5469" w:hanging="360"/>
      </w:pPr>
      <w:rPr>
        <w:rFonts w:cs="Times New Roman"/>
      </w:rPr>
    </w:lvl>
    <w:lvl w:ilvl="7" w:tplc="04190019" w:tentative="1">
      <w:start w:val="1"/>
      <w:numFmt w:val="lowerLetter"/>
      <w:lvlText w:val="%8."/>
      <w:lvlJc w:val="left"/>
      <w:pPr>
        <w:ind w:left="6189" w:hanging="360"/>
      </w:pPr>
      <w:rPr>
        <w:rFonts w:cs="Times New Roman"/>
      </w:rPr>
    </w:lvl>
    <w:lvl w:ilvl="8" w:tplc="0419001B" w:tentative="1">
      <w:start w:val="1"/>
      <w:numFmt w:val="lowerRoman"/>
      <w:lvlText w:val="%9."/>
      <w:lvlJc w:val="right"/>
      <w:pPr>
        <w:ind w:left="6909" w:hanging="180"/>
      </w:pPr>
      <w:rPr>
        <w:rFonts w:cs="Times New Roman"/>
      </w:rPr>
    </w:lvl>
  </w:abstractNum>
  <w:abstractNum w:abstractNumId="7">
    <w:nsid w:val="24020998"/>
    <w:multiLevelType w:val="hybridMultilevel"/>
    <w:tmpl w:val="7D56D5EE"/>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8">
    <w:nsid w:val="24FE6E92"/>
    <w:multiLevelType w:val="multilevel"/>
    <w:tmpl w:val="29DA1514"/>
    <w:lvl w:ilvl="0">
      <w:start w:val="1"/>
      <w:numFmt w:val="decimal"/>
      <w:lvlText w:val="%1."/>
      <w:lvlJc w:val="left"/>
      <w:pPr>
        <w:ind w:left="495" w:hanging="495"/>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9">
    <w:nsid w:val="29C35BA0"/>
    <w:multiLevelType w:val="hybridMultilevel"/>
    <w:tmpl w:val="BE0C6B68"/>
    <w:lvl w:ilvl="0" w:tplc="0419000F">
      <w:start w:val="1"/>
      <w:numFmt w:val="decimal"/>
      <w:lvlText w:val="%1."/>
      <w:lvlJc w:val="left"/>
      <w:pPr>
        <w:ind w:left="1440" w:hanging="360"/>
      </w:pPr>
      <w:rPr>
        <w:rFonts w:cs="Times New Roman"/>
      </w:rPr>
    </w:lvl>
    <w:lvl w:ilvl="1" w:tplc="04190019" w:tentative="1">
      <w:start w:val="1"/>
      <w:numFmt w:val="lowerLetter"/>
      <w:lvlText w:val="%2."/>
      <w:lvlJc w:val="left"/>
      <w:pPr>
        <w:ind w:left="2160" w:hanging="360"/>
      </w:pPr>
      <w:rPr>
        <w:rFonts w:cs="Times New Roman"/>
      </w:rPr>
    </w:lvl>
    <w:lvl w:ilvl="2" w:tplc="0419001B" w:tentative="1">
      <w:start w:val="1"/>
      <w:numFmt w:val="lowerRoman"/>
      <w:lvlText w:val="%3."/>
      <w:lvlJc w:val="right"/>
      <w:pPr>
        <w:ind w:left="2880" w:hanging="180"/>
      </w:pPr>
      <w:rPr>
        <w:rFonts w:cs="Times New Roman"/>
      </w:rPr>
    </w:lvl>
    <w:lvl w:ilvl="3" w:tplc="0419000F" w:tentative="1">
      <w:start w:val="1"/>
      <w:numFmt w:val="decimal"/>
      <w:lvlText w:val="%4."/>
      <w:lvlJc w:val="left"/>
      <w:pPr>
        <w:ind w:left="3600" w:hanging="360"/>
      </w:pPr>
      <w:rPr>
        <w:rFonts w:cs="Times New Roman"/>
      </w:rPr>
    </w:lvl>
    <w:lvl w:ilvl="4" w:tplc="04190019" w:tentative="1">
      <w:start w:val="1"/>
      <w:numFmt w:val="lowerLetter"/>
      <w:lvlText w:val="%5."/>
      <w:lvlJc w:val="left"/>
      <w:pPr>
        <w:ind w:left="4320" w:hanging="360"/>
      </w:pPr>
      <w:rPr>
        <w:rFonts w:cs="Times New Roman"/>
      </w:rPr>
    </w:lvl>
    <w:lvl w:ilvl="5" w:tplc="0419001B" w:tentative="1">
      <w:start w:val="1"/>
      <w:numFmt w:val="lowerRoman"/>
      <w:lvlText w:val="%6."/>
      <w:lvlJc w:val="right"/>
      <w:pPr>
        <w:ind w:left="5040" w:hanging="180"/>
      </w:pPr>
      <w:rPr>
        <w:rFonts w:cs="Times New Roman"/>
      </w:rPr>
    </w:lvl>
    <w:lvl w:ilvl="6" w:tplc="0419000F" w:tentative="1">
      <w:start w:val="1"/>
      <w:numFmt w:val="decimal"/>
      <w:lvlText w:val="%7."/>
      <w:lvlJc w:val="left"/>
      <w:pPr>
        <w:ind w:left="5760" w:hanging="360"/>
      </w:pPr>
      <w:rPr>
        <w:rFonts w:cs="Times New Roman"/>
      </w:rPr>
    </w:lvl>
    <w:lvl w:ilvl="7" w:tplc="04190019" w:tentative="1">
      <w:start w:val="1"/>
      <w:numFmt w:val="lowerLetter"/>
      <w:lvlText w:val="%8."/>
      <w:lvlJc w:val="left"/>
      <w:pPr>
        <w:ind w:left="6480" w:hanging="360"/>
      </w:pPr>
      <w:rPr>
        <w:rFonts w:cs="Times New Roman"/>
      </w:rPr>
    </w:lvl>
    <w:lvl w:ilvl="8" w:tplc="0419001B" w:tentative="1">
      <w:start w:val="1"/>
      <w:numFmt w:val="lowerRoman"/>
      <w:lvlText w:val="%9."/>
      <w:lvlJc w:val="right"/>
      <w:pPr>
        <w:ind w:left="7200" w:hanging="180"/>
      </w:pPr>
      <w:rPr>
        <w:rFonts w:cs="Times New Roman"/>
      </w:rPr>
    </w:lvl>
  </w:abstractNum>
  <w:abstractNum w:abstractNumId="10">
    <w:nsid w:val="2BAA5A29"/>
    <w:multiLevelType w:val="hybridMultilevel"/>
    <w:tmpl w:val="4BD45CD8"/>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39536B25"/>
    <w:multiLevelType w:val="multilevel"/>
    <w:tmpl w:val="658C2B88"/>
    <w:lvl w:ilvl="0">
      <w:start w:val="1"/>
      <w:numFmt w:val="decimal"/>
      <w:lvlText w:val="%1."/>
      <w:lvlJc w:val="left"/>
      <w:pPr>
        <w:ind w:left="510" w:hanging="51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2">
    <w:nsid w:val="45EA6F40"/>
    <w:multiLevelType w:val="hybridMultilevel"/>
    <w:tmpl w:val="5E5A3BC2"/>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3">
    <w:nsid w:val="4B0F3AC0"/>
    <w:multiLevelType w:val="hybridMultilevel"/>
    <w:tmpl w:val="4D62039C"/>
    <w:lvl w:ilvl="0" w:tplc="0419000F">
      <w:start w:val="1"/>
      <w:numFmt w:val="decimal"/>
      <w:lvlText w:val="%1."/>
      <w:lvlJc w:val="left"/>
      <w:pPr>
        <w:ind w:left="1869" w:hanging="360"/>
      </w:pPr>
      <w:rPr>
        <w:rFonts w:cs="Times New Roman"/>
      </w:rPr>
    </w:lvl>
    <w:lvl w:ilvl="1" w:tplc="04190019" w:tentative="1">
      <w:start w:val="1"/>
      <w:numFmt w:val="lowerLetter"/>
      <w:lvlText w:val="%2."/>
      <w:lvlJc w:val="left"/>
      <w:pPr>
        <w:ind w:left="2589" w:hanging="360"/>
      </w:pPr>
      <w:rPr>
        <w:rFonts w:cs="Times New Roman"/>
      </w:rPr>
    </w:lvl>
    <w:lvl w:ilvl="2" w:tplc="0419001B" w:tentative="1">
      <w:start w:val="1"/>
      <w:numFmt w:val="lowerRoman"/>
      <w:lvlText w:val="%3."/>
      <w:lvlJc w:val="right"/>
      <w:pPr>
        <w:ind w:left="3309" w:hanging="180"/>
      </w:pPr>
      <w:rPr>
        <w:rFonts w:cs="Times New Roman"/>
      </w:rPr>
    </w:lvl>
    <w:lvl w:ilvl="3" w:tplc="0419000F" w:tentative="1">
      <w:start w:val="1"/>
      <w:numFmt w:val="decimal"/>
      <w:lvlText w:val="%4."/>
      <w:lvlJc w:val="left"/>
      <w:pPr>
        <w:ind w:left="4029" w:hanging="360"/>
      </w:pPr>
      <w:rPr>
        <w:rFonts w:cs="Times New Roman"/>
      </w:rPr>
    </w:lvl>
    <w:lvl w:ilvl="4" w:tplc="04190019" w:tentative="1">
      <w:start w:val="1"/>
      <w:numFmt w:val="lowerLetter"/>
      <w:lvlText w:val="%5."/>
      <w:lvlJc w:val="left"/>
      <w:pPr>
        <w:ind w:left="4749" w:hanging="360"/>
      </w:pPr>
      <w:rPr>
        <w:rFonts w:cs="Times New Roman"/>
      </w:rPr>
    </w:lvl>
    <w:lvl w:ilvl="5" w:tplc="0419001B" w:tentative="1">
      <w:start w:val="1"/>
      <w:numFmt w:val="lowerRoman"/>
      <w:lvlText w:val="%6."/>
      <w:lvlJc w:val="right"/>
      <w:pPr>
        <w:ind w:left="5469" w:hanging="180"/>
      </w:pPr>
      <w:rPr>
        <w:rFonts w:cs="Times New Roman"/>
      </w:rPr>
    </w:lvl>
    <w:lvl w:ilvl="6" w:tplc="0419000F" w:tentative="1">
      <w:start w:val="1"/>
      <w:numFmt w:val="decimal"/>
      <w:lvlText w:val="%7."/>
      <w:lvlJc w:val="left"/>
      <w:pPr>
        <w:ind w:left="6189" w:hanging="360"/>
      </w:pPr>
      <w:rPr>
        <w:rFonts w:cs="Times New Roman"/>
      </w:rPr>
    </w:lvl>
    <w:lvl w:ilvl="7" w:tplc="04190019" w:tentative="1">
      <w:start w:val="1"/>
      <w:numFmt w:val="lowerLetter"/>
      <w:lvlText w:val="%8."/>
      <w:lvlJc w:val="left"/>
      <w:pPr>
        <w:ind w:left="6909" w:hanging="360"/>
      </w:pPr>
      <w:rPr>
        <w:rFonts w:cs="Times New Roman"/>
      </w:rPr>
    </w:lvl>
    <w:lvl w:ilvl="8" w:tplc="0419001B" w:tentative="1">
      <w:start w:val="1"/>
      <w:numFmt w:val="lowerRoman"/>
      <w:lvlText w:val="%9."/>
      <w:lvlJc w:val="right"/>
      <w:pPr>
        <w:ind w:left="7629" w:hanging="180"/>
      </w:pPr>
      <w:rPr>
        <w:rFonts w:cs="Times New Roman"/>
      </w:rPr>
    </w:lvl>
  </w:abstractNum>
  <w:abstractNum w:abstractNumId="14">
    <w:nsid w:val="4C360015"/>
    <w:multiLevelType w:val="hybridMultilevel"/>
    <w:tmpl w:val="A09878F2"/>
    <w:lvl w:ilvl="0" w:tplc="50986E2E">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5">
    <w:nsid w:val="4C79764B"/>
    <w:multiLevelType w:val="multilevel"/>
    <w:tmpl w:val="FB769BD4"/>
    <w:lvl w:ilvl="0">
      <w:start w:val="1"/>
      <w:numFmt w:val="decimal"/>
      <w:lvlText w:val="%1."/>
      <w:lvlJc w:val="left"/>
      <w:pPr>
        <w:tabs>
          <w:tab w:val="num" w:pos="1830"/>
        </w:tabs>
        <w:ind w:left="1830" w:hanging="111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6">
    <w:nsid w:val="5B1A5052"/>
    <w:multiLevelType w:val="multilevel"/>
    <w:tmpl w:val="29DA1514"/>
    <w:lvl w:ilvl="0">
      <w:start w:val="1"/>
      <w:numFmt w:val="decimal"/>
      <w:lvlText w:val="%1."/>
      <w:lvlJc w:val="left"/>
      <w:pPr>
        <w:ind w:left="495" w:hanging="495"/>
      </w:pPr>
      <w:rPr>
        <w:rFonts w:cs="Times New Roman" w:hint="default"/>
      </w:rPr>
    </w:lvl>
    <w:lvl w:ilvl="1">
      <w:start w:val="1"/>
      <w:numFmt w:val="decimal"/>
      <w:lvlText w:val="%1.%2."/>
      <w:lvlJc w:val="left"/>
      <w:pPr>
        <w:ind w:left="1429" w:hanging="72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6054" w:hanging="180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17">
    <w:nsid w:val="618F00CE"/>
    <w:multiLevelType w:val="hybridMultilevel"/>
    <w:tmpl w:val="2F54F3EA"/>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8">
    <w:nsid w:val="669940A8"/>
    <w:multiLevelType w:val="hybridMultilevel"/>
    <w:tmpl w:val="38D4A4D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70DE3AD7"/>
    <w:multiLevelType w:val="multilevel"/>
    <w:tmpl w:val="2ACA0E14"/>
    <w:lvl w:ilvl="0">
      <w:start w:val="2"/>
      <w:numFmt w:val="decimal"/>
      <w:lvlText w:val="%1."/>
      <w:lvlJc w:val="left"/>
      <w:pPr>
        <w:ind w:left="510" w:hanging="510"/>
      </w:pPr>
      <w:rPr>
        <w:rFonts w:cs="Times New Roman" w:hint="default"/>
      </w:rPr>
    </w:lvl>
    <w:lvl w:ilvl="1">
      <w:start w:val="1"/>
      <w:numFmt w:val="decimal"/>
      <w:lvlText w:val="%1.%2."/>
      <w:lvlJc w:val="left"/>
      <w:pPr>
        <w:ind w:left="3018" w:hanging="720"/>
      </w:pPr>
      <w:rPr>
        <w:rFonts w:cs="Times New Roman" w:hint="default"/>
      </w:rPr>
    </w:lvl>
    <w:lvl w:ilvl="2">
      <w:start w:val="1"/>
      <w:numFmt w:val="decimal"/>
      <w:lvlText w:val="%1.%2.%3."/>
      <w:lvlJc w:val="left"/>
      <w:pPr>
        <w:ind w:left="5676" w:hanging="1080"/>
      </w:pPr>
      <w:rPr>
        <w:rFonts w:cs="Times New Roman" w:hint="default"/>
      </w:rPr>
    </w:lvl>
    <w:lvl w:ilvl="3">
      <w:start w:val="1"/>
      <w:numFmt w:val="decimal"/>
      <w:lvlText w:val="%1.%2.%3.%4."/>
      <w:lvlJc w:val="left"/>
      <w:pPr>
        <w:ind w:left="7974" w:hanging="1080"/>
      </w:pPr>
      <w:rPr>
        <w:rFonts w:cs="Times New Roman" w:hint="default"/>
      </w:rPr>
    </w:lvl>
    <w:lvl w:ilvl="4">
      <w:start w:val="1"/>
      <w:numFmt w:val="decimal"/>
      <w:lvlText w:val="%1.%2.%3.%4.%5."/>
      <w:lvlJc w:val="left"/>
      <w:pPr>
        <w:ind w:left="10632" w:hanging="1440"/>
      </w:pPr>
      <w:rPr>
        <w:rFonts w:cs="Times New Roman" w:hint="default"/>
      </w:rPr>
    </w:lvl>
    <w:lvl w:ilvl="5">
      <w:start w:val="1"/>
      <w:numFmt w:val="decimal"/>
      <w:lvlText w:val="%1.%2.%3.%4.%5.%6."/>
      <w:lvlJc w:val="left"/>
      <w:pPr>
        <w:ind w:left="13290" w:hanging="1800"/>
      </w:pPr>
      <w:rPr>
        <w:rFonts w:cs="Times New Roman" w:hint="default"/>
      </w:rPr>
    </w:lvl>
    <w:lvl w:ilvl="6">
      <w:start w:val="1"/>
      <w:numFmt w:val="decimal"/>
      <w:lvlText w:val="%1.%2.%3.%4.%5.%6.%7."/>
      <w:lvlJc w:val="left"/>
      <w:pPr>
        <w:ind w:left="15948" w:hanging="2160"/>
      </w:pPr>
      <w:rPr>
        <w:rFonts w:cs="Times New Roman" w:hint="default"/>
      </w:rPr>
    </w:lvl>
    <w:lvl w:ilvl="7">
      <w:start w:val="1"/>
      <w:numFmt w:val="decimal"/>
      <w:lvlText w:val="%1.%2.%3.%4.%5.%6.%7.%8."/>
      <w:lvlJc w:val="left"/>
      <w:pPr>
        <w:ind w:left="18246" w:hanging="2160"/>
      </w:pPr>
      <w:rPr>
        <w:rFonts w:cs="Times New Roman" w:hint="default"/>
      </w:rPr>
    </w:lvl>
    <w:lvl w:ilvl="8">
      <w:start w:val="1"/>
      <w:numFmt w:val="decimal"/>
      <w:lvlText w:val="%1.%2.%3.%4.%5.%6.%7.%8.%9."/>
      <w:lvlJc w:val="left"/>
      <w:pPr>
        <w:ind w:left="20904" w:hanging="2520"/>
      </w:pPr>
      <w:rPr>
        <w:rFonts w:cs="Times New Roman" w:hint="default"/>
      </w:rPr>
    </w:lvl>
  </w:abstractNum>
  <w:abstractNum w:abstractNumId="20">
    <w:nsid w:val="75DC57EC"/>
    <w:multiLevelType w:val="multilevel"/>
    <w:tmpl w:val="ADA6549A"/>
    <w:lvl w:ilvl="0">
      <w:numFmt w:val="bullet"/>
      <w:lvlText w:val="-"/>
      <w:lvlJc w:val="left"/>
      <w:pPr>
        <w:tabs>
          <w:tab w:val="num" w:pos="1635"/>
        </w:tabs>
        <w:ind w:left="1635" w:hanging="915"/>
      </w:pPr>
      <w:rPr>
        <w:rFonts w:hint="default"/>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16"/>
  </w:num>
  <w:num w:numId="4">
    <w:abstractNumId w:val="8"/>
  </w:num>
  <w:num w:numId="5">
    <w:abstractNumId w:val="11"/>
  </w:num>
  <w:num w:numId="6">
    <w:abstractNumId w:val="5"/>
  </w:num>
  <w:num w:numId="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num>
  <w:num w:numId="9">
    <w:abstractNumId w:val="18"/>
  </w:num>
  <w:num w:numId="10">
    <w:abstractNumId w:val="0"/>
  </w:num>
  <w:num w:numId="11">
    <w:abstractNumId w:val="14"/>
  </w:num>
  <w:num w:numId="12">
    <w:abstractNumId w:val="3"/>
  </w:num>
  <w:num w:numId="13">
    <w:abstractNumId w:val="4"/>
  </w:num>
  <w:num w:numId="14">
    <w:abstractNumId w:val="9"/>
  </w:num>
  <w:num w:numId="15">
    <w:abstractNumId w:val="1"/>
  </w:num>
  <w:num w:numId="16">
    <w:abstractNumId w:val="10"/>
  </w:num>
  <w:num w:numId="17">
    <w:abstractNumId w:val="6"/>
  </w:num>
  <w:num w:numId="18">
    <w:abstractNumId w:val="13"/>
  </w:num>
  <w:num w:numId="19">
    <w:abstractNumId w:val="2"/>
  </w:num>
  <w:num w:numId="20">
    <w:abstractNumId w:val="19"/>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E0343"/>
    <w:rsid w:val="00011112"/>
    <w:rsid w:val="00012049"/>
    <w:rsid w:val="00012F0F"/>
    <w:rsid w:val="00040133"/>
    <w:rsid w:val="00052767"/>
    <w:rsid w:val="0005322E"/>
    <w:rsid w:val="0006511E"/>
    <w:rsid w:val="00067364"/>
    <w:rsid w:val="000713C8"/>
    <w:rsid w:val="00073AAD"/>
    <w:rsid w:val="000A4F3D"/>
    <w:rsid w:val="000B3F18"/>
    <w:rsid w:val="000B6EED"/>
    <w:rsid w:val="000C7FFA"/>
    <w:rsid w:val="000D3330"/>
    <w:rsid w:val="000E368C"/>
    <w:rsid w:val="000F19AD"/>
    <w:rsid w:val="000F2BDC"/>
    <w:rsid w:val="001148D2"/>
    <w:rsid w:val="00163480"/>
    <w:rsid w:val="0016471C"/>
    <w:rsid w:val="00166D5A"/>
    <w:rsid w:val="00167D7E"/>
    <w:rsid w:val="00184F8F"/>
    <w:rsid w:val="001900B6"/>
    <w:rsid w:val="00195DC6"/>
    <w:rsid w:val="001A3C1C"/>
    <w:rsid w:val="001A637C"/>
    <w:rsid w:val="001D01B1"/>
    <w:rsid w:val="001E1A2D"/>
    <w:rsid w:val="001F0035"/>
    <w:rsid w:val="001F52A5"/>
    <w:rsid w:val="0020197C"/>
    <w:rsid w:val="0020346A"/>
    <w:rsid w:val="00204152"/>
    <w:rsid w:val="00216253"/>
    <w:rsid w:val="002246D0"/>
    <w:rsid w:val="0023393B"/>
    <w:rsid w:val="00237CE6"/>
    <w:rsid w:val="0024147C"/>
    <w:rsid w:val="00256A54"/>
    <w:rsid w:val="00271C0F"/>
    <w:rsid w:val="0028550A"/>
    <w:rsid w:val="002A40D6"/>
    <w:rsid w:val="002A430F"/>
    <w:rsid w:val="002B487C"/>
    <w:rsid w:val="002B75A4"/>
    <w:rsid w:val="002E2E83"/>
    <w:rsid w:val="002F4964"/>
    <w:rsid w:val="0032683C"/>
    <w:rsid w:val="00332BCE"/>
    <w:rsid w:val="00336D87"/>
    <w:rsid w:val="00367D6C"/>
    <w:rsid w:val="0037627C"/>
    <w:rsid w:val="00382C9F"/>
    <w:rsid w:val="003848DA"/>
    <w:rsid w:val="00394B8A"/>
    <w:rsid w:val="00396510"/>
    <w:rsid w:val="003978C6"/>
    <w:rsid w:val="003A2A91"/>
    <w:rsid w:val="003B5491"/>
    <w:rsid w:val="003C072C"/>
    <w:rsid w:val="003C43B7"/>
    <w:rsid w:val="003C741B"/>
    <w:rsid w:val="003D32B5"/>
    <w:rsid w:val="003E153B"/>
    <w:rsid w:val="003E43BB"/>
    <w:rsid w:val="003F7938"/>
    <w:rsid w:val="004059F6"/>
    <w:rsid w:val="00411087"/>
    <w:rsid w:val="00412719"/>
    <w:rsid w:val="0041533E"/>
    <w:rsid w:val="00421076"/>
    <w:rsid w:val="00434E1F"/>
    <w:rsid w:val="0045116C"/>
    <w:rsid w:val="00453355"/>
    <w:rsid w:val="004670F8"/>
    <w:rsid w:val="00474E8E"/>
    <w:rsid w:val="00494294"/>
    <w:rsid w:val="004B1617"/>
    <w:rsid w:val="004C0B28"/>
    <w:rsid w:val="004D298F"/>
    <w:rsid w:val="004D38D0"/>
    <w:rsid w:val="004F5FA4"/>
    <w:rsid w:val="004F69E8"/>
    <w:rsid w:val="005022F7"/>
    <w:rsid w:val="00524830"/>
    <w:rsid w:val="00525BE7"/>
    <w:rsid w:val="00530737"/>
    <w:rsid w:val="00537F8E"/>
    <w:rsid w:val="00555E94"/>
    <w:rsid w:val="00561D52"/>
    <w:rsid w:val="0056700B"/>
    <w:rsid w:val="005A29EA"/>
    <w:rsid w:val="005C1C8A"/>
    <w:rsid w:val="005C4A46"/>
    <w:rsid w:val="005C662D"/>
    <w:rsid w:val="005D24F7"/>
    <w:rsid w:val="005E0343"/>
    <w:rsid w:val="005E78D6"/>
    <w:rsid w:val="005F1201"/>
    <w:rsid w:val="006215D3"/>
    <w:rsid w:val="00650765"/>
    <w:rsid w:val="00656587"/>
    <w:rsid w:val="006658A0"/>
    <w:rsid w:val="006B59FD"/>
    <w:rsid w:val="006C0820"/>
    <w:rsid w:val="006E0C43"/>
    <w:rsid w:val="006E4F96"/>
    <w:rsid w:val="00705FB6"/>
    <w:rsid w:val="0071243A"/>
    <w:rsid w:val="007155A2"/>
    <w:rsid w:val="00736086"/>
    <w:rsid w:val="00741743"/>
    <w:rsid w:val="00756B73"/>
    <w:rsid w:val="007753B1"/>
    <w:rsid w:val="007B1E87"/>
    <w:rsid w:val="007C2A86"/>
    <w:rsid w:val="007C60E7"/>
    <w:rsid w:val="007E3545"/>
    <w:rsid w:val="007F48B8"/>
    <w:rsid w:val="008041B2"/>
    <w:rsid w:val="008068AF"/>
    <w:rsid w:val="00823C4C"/>
    <w:rsid w:val="00834217"/>
    <w:rsid w:val="0083701F"/>
    <w:rsid w:val="00861363"/>
    <w:rsid w:val="00871FF4"/>
    <w:rsid w:val="00877B2C"/>
    <w:rsid w:val="008835D3"/>
    <w:rsid w:val="008B3DCB"/>
    <w:rsid w:val="008C0BE7"/>
    <w:rsid w:val="008C4585"/>
    <w:rsid w:val="008C7918"/>
    <w:rsid w:val="008C7FFE"/>
    <w:rsid w:val="008E0310"/>
    <w:rsid w:val="008F28C1"/>
    <w:rsid w:val="008F53A9"/>
    <w:rsid w:val="00904BDF"/>
    <w:rsid w:val="00911DF5"/>
    <w:rsid w:val="00914786"/>
    <w:rsid w:val="0091770F"/>
    <w:rsid w:val="00935064"/>
    <w:rsid w:val="009474AE"/>
    <w:rsid w:val="0096550B"/>
    <w:rsid w:val="009737A5"/>
    <w:rsid w:val="00983F7E"/>
    <w:rsid w:val="009A2694"/>
    <w:rsid w:val="009A51A5"/>
    <w:rsid w:val="009B64B9"/>
    <w:rsid w:val="009C658D"/>
    <w:rsid w:val="009D1B8F"/>
    <w:rsid w:val="009D1FC2"/>
    <w:rsid w:val="009D7467"/>
    <w:rsid w:val="009E1299"/>
    <w:rsid w:val="009F7A43"/>
    <w:rsid w:val="00A40705"/>
    <w:rsid w:val="00A454A3"/>
    <w:rsid w:val="00A462B1"/>
    <w:rsid w:val="00A523EC"/>
    <w:rsid w:val="00A564BE"/>
    <w:rsid w:val="00A71B4D"/>
    <w:rsid w:val="00A7524C"/>
    <w:rsid w:val="00A87E45"/>
    <w:rsid w:val="00A913FF"/>
    <w:rsid w:val="00A91AE4"/>
    <w:rsid w:val="00A93F95"/>
    <w:rsid w:val="00A97E51"/>
    <w:rsid w:val="00AA74FF"/>
    <w:rsid w:val="00AB48E5"/>
    <w:rsid w:val="00AC09B4"/>
    <w:rsid w:val="00AC65AC"/>
    <w:rsid w:val="00AD616C"/>
    <w:rsid w:val="00AF1A59"/>
    <w:rsid w:val="00AF60B9"/>
    <w:rsid w:val="00AF6CDA"/>
    <w:rsid w:val="00B040AB"/>
    <w:rsid w:val="00B0699D"/>
    <w:rsid w:val="00B4785E"/>
    <w:rsid w:val="00B5573F"/>
    <w:rsid w:val="00B62C96"/>
    <w:rsid w:val="00B7169F"/>
    <w:rsid w:val="00B84F26"/>
    <w:rsid w:val="00BC6668"/>
    <w:rsid w:val="00BD281B"/>
    <w:rsid w:val="00BD3FD6"/>
    <w:rsid w:val="00BF16C3"/>
    <w:rsid w:val="00C12F3E"/>
    <w:rsid w:val="00C1495E"/>
    <w:rsid w:val="00C1510A"/>
    <w:rsid w:val="00C306B7"/>
    <w:rsid w:val="00C32C7D"/>
    <w:rsid w:val="00C33588"/>
    <w:rsid w:val="00C41103"/>
    <w:rsid w:val="00C45011"/>
    <w:rsid w:val="00C478E2"/>
    <w:rsid w:val="00C52CB3"/>
    <w:rsid w:val="00C5740A"/>
    <w:rsid w:val="00C618A6"/>
    <w:rsid w:val="00C63A9C"/>
    <w:rsid w:val="00C93918"/>
    <w:rsid w:val="00CA473C"/>
    <w:rsid w:val="00CA5D6D"/>
    <w:rsid w:val="00CB04D4"/>
    <w:rsid w:val="00CF5AA1"/>
    <w:rsid w:val="00D06A21"/>
    <w:rsid w:val="00D11346"/>
    <w:rsid w:val="00D20411"/>
    <w:rsid w:val="00D477E7"/>
    <w:rsid w:val="00D52469"/>
    <w:rsid w:val="00D648D6"/>
    <w:rsid w:val="00D85CD6"/>
    <w:rsid w:val="00DA1C30"/>
    <w:rsid w:val="00DA79C2"/>
    <w:rsid w:val="00DB48BD"/>
    <w:rsid w:val="00E100A5"/>
    <w:rsid w:val="00E2075D"/>
    <w:rsid w:val="00E26B0C"/>
    <w:rsid w:val="00E32A16"/>
    <w:rsid w:val="00E47B59"/>
    <w:rsid w:val="00E63650"/>
    <w:rsid w:val="00E80A2D"/>
    <w:rsid w:val="00E84D07"/>
    <w:rsid w:val="00E86604"/>
    <w:rsid w:val="00EB285A"/>
    <w:rsid w:val="00ED509B"/>
    <w:rsid w:val="00EE2184"/>
    <w:rsid w:val="00F2175D"/>
    <w:rsid w:val="00F278B0"/>
    <w:rsid w:val="00F314E1"/>
    <w:rsid w:val="00F35AE6"/>
    <w:rsid w:val="00F52FAC"/>
    <w:rsid w:val="00F54F31"/>
    <w:rsid w:val="00F6054A"/>
    <w:rsid w:val="00F606E6"/>
    <w:rsid w:val="00F66570"/>
    <w:rsid w:val="00F7312A"/>
    <w:rsid w:val="00F75BF6"/>
    <w:rsid w:val="00FA0EB0"/>
    <w:rsid w:val="00FA1553"/>
    <w:rsid w:val="00FC66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ECB1BF9-B472-417D-AC21-AD410027A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368C"/>
    <w:pPr>
      <w:spacing w:after="200" w:line="276" w:lineRule="auto"/>
    </w:pPr>
    <w:rPr>
      <w:rFonts w:cs="Times New Roman"/>
      <w:sz w:val="22"/>
      <w:szCs w:val="22"/>
      <w:lang w:eastAsia="en-US"/>
    </w:rPr>
  </w:style>
  <w:style w:type="paragraph" w:styleId="1">
    <w:name w:val="heading 1"/>
    <w:basedOn w:val="a"/>
    <w:next w:val="a"/>
    <w:link w:val="10"/>
    <w:uiPriority w:val="9"/>
    <w:qFormat/>
    <w:rsid w:val="00823C4C"/>
    <w:pPr>
      <w:keepNext/>
      <w:keepLines/>
      <w:spacing w:before="240" w:after="0"/>
      <w:jc w:val="center"/>
      <w:outlineLvl w:val="0"/>
    </w:pPr>
    <w:rPr>
      <w:rFonts w:ascii="Cambria" w:hAnsi="Cambria"/>
      <w:b/>
      <w:bCs/>
      <w:i/>
      <w:sz w:val="32"/>
      <w:szCs w:val="28"/>
    </w:rPr>
  </w:style>
  <w:style w:type="paragraph" w:styleId="2">
    <w:name w:val="heading 2"/>
    <w:basedOn w:val="a"/>
    <w:next w:val="a"/>
    <w:link w:val="20"/>
    <w:uiPriority w:val="9"/>
    <w:unhideWhenUsed/>
    <w:qFormat/>
    <w:rsid w:val="004F5FA4"/>
    <w:pPr>
      <w:keepNext/>
      <w:keepLines/>
      <w:spacing w:before="200" w:after="0"/>
      <w:outlineLvl w:val="1"/>
    </w:pPr>
    <w:rPr>
      <w:rFonts w:ascii="Cambria" w:hAnsi="Cambria"/>
      <w:b/>
      <w:bCs/>
      <w:color w:val="4F81BD"/>
      <w:sz w:val="26"/>
      <w:szCs w:val="26"/>
    </w:rPr>
  </w:style>
  <w:style w:type="paragraph" w:styleId="3">
    <w:name w:val="heading 3"/>
    <w:basedOn w:val="a"/>
    <w:link w:val="30"/>
    <w:uiPriority w:val="9"/>
    <w:qFormat/>
    <w:rsid w:val="005E0343"/>
    <w:pPr>
      <w:spacing w:before="100" w:beforeAutospacing="1" w:after="100" w:afterAutospacing="1" w:line="240" w:lineRule="auto"/>
      <w:outlineLvl w:val="2"/>
    </w:pPr>
    <w:rPr>
      <w:rFonts w:ascii="Times New Roman" w:hAnsi="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823C4C"/>
    <w:rPr>
      <w:rFonts w:ascii="Cambria" w:hAnsi="Cambria" w:cs="Times New Roman"/>
      <w:b/>
      <w:bCs/>
      <w:i/>
      <w:sz w:val="28"/>
      <w:szCs w:val="28"/>
      <w:lang w:val="x-none" w:eastAsia="en-US"/>
    </w:rPr>
  </w:style>
  <w:style w:type="character" w:customStyle="1" w:styleId="20">
    <w:name w:val="Заголовок 2 Знак"/>
    <w:link w:val="2"/>
    <w:uiPriority w:val="9"/>
    <w:locked/>
    <w:rsid w:val="004F5FA4"/>
    <w:rPr>
      <w:rFonts w:ascii="Cambria" w:hAnsi="Cambria" w:cs="Times New Roman"/>
      <w:b/>
      <w:bCs/>
      <w:color w:val="4F81BD"/>
      <w:sz w:val="26"/>
      <w:szCs w:val="26"/>
    </w:rPr>
  </w:style>
  <w:style w:type="character" w:customStyle="1" w:styleId="30">
    <w:name w:val="Заголовок 3 Знак"/>
    <w:link w:val="3"/>
    <w:uiPriority w:val="9"/>
    <w:locked/>
    <w:rsid w:val="005E0343"/>
    <w:rPr>
      <w:rFonts w:ascii="Times New Roman" w:hAnsi="Times New Roman" w:cs="Times New Roman"/>
      <w:b/>
      <w:bCs/>
      <w:sz w:val="27"/>
      <w:szCs w:val="27"/>
      <w:lang w:val="x-none" w:eastAsia="ru-RU"/>
    </w:rPr>
  </w:style>
  <w:style w:type="paragraph" w:styleId="a3">
    <w:name w:val="Balloon Text"/>
    <w:basedOn w:val="a"/>
    <w:link w:val="a4"/>
    <w:uiPriority w:val="99"/>
    <w:semiHidden/>
    <w:unhideWhenUsed/>
    <w:rsid w:val="005E0343"/>
    <w:pPr>
      <w:spacing w:after="0" w:line="240" w:lineRule="auto"/>
    </w:pPr>
    <w:rPr>
      <w:rFonts w:ascii="Tahoma" w:hAnsi="Tahoma" w:cs="Tahoma"/>
      <w:sz w:val="16"/>
      <w:szCs w:val="16"/>
    </w:rPr>
  </w:style>
  <w:style w:type="character" w:customStyle="1" w:styleId="a4">
    <w:name w:val="Текст выноски Знак"/>
    <w:link w:val="a3"/>
    <w:uiPriority w:val="99"/>
    <w:semiHidden/>
    <w:locked/>
    <w:rsid w:val="005E0343"/>
    <w:rPr>
      <w:rFonts w:ascii="Tahoma" w:hAnsi="Tahoma" w:cs="Tahoma"/>
      <w:sz w:val="16"/>
      <w:szCs w:val="16"/>
    </w:rPr>
  </w:style>
  <w:style w:type="paragraph" w:styleId="a5">
    <w:name w:val="Normal (Web)"/>
    <w:basedOn w:val="a"/>
    <w:uiPriority w:val="99"/>
    <w:semiHidden/>
    <w:unhideWhenUsed/>
    <w:rsid w:val="005E0343"/>
    <w:pPr>
      <w:spacing w:before="100" w:beforeAutospacing="1" w:after="100" w:afterAutospacing="1" w:line="240" w:lineRule="auto"/>
    </w:pPr>
    <w:rPr>
      <w:rFonts w:ascii="Times New Roman" w:hAnsi="Times New Roman"/>
      <w:sz w:val="24"/>
      <w:szCs w:val="24"/>
      <w:lang w:eastAsia="ru-RU"/>
    </w:rPr>
  </w:style>
  <w:style w:type="paragraph" w:styleId="a6">
    <w:name w:val="header"/>
    <w:basedOn w:val="a"/>
    <w:link w:val="a7"/>
    <w:uiPriority w:val="99"/>
    <w:unhideWhenUsed/>
    <w:rsid w:val="00EB285A"/>
    <w:pPr>
      <w:tabs>
        <w:tab w:val="center" w:pos="4677"/>
        <w:tab w:val="right" w:pos="9355"/>
      </w:tabs>
      <w:spacing w:after="0" w:line="240" w:lineRule="auto"/>
    </w:pPr>
  </w:style>
  <w:style w:type="character" w:customStyle="1" w:styleId="a7">
    <w:name w:val="Верхний колонтитул Знак"/>
    <w:link w:val="a6"/>
    <w:uiPriority w:val="99"/>
    <w:locked/>
    <w:rsid w:val="00EB285A"/>
    <w:rPr>
      <w:rFonts w:cs="Times New Roman"/>
    </w:rPr>
  </w:style>
  <w:style w:type="paragraph" w:styleId="a8">
    <w:name w:val="footer"/>
    <w:basedOn w:val="a"/>
    <w:link w:val="a9"/>
    <w:uiPriority w:val="99"/>
    <w:unhideWhenUsed/>
    <w:rsid w:val="00EB285A"/>
    <w:pPr>
      <w:tabs>
        <w:tab w:val="center" w:pos="4677"/>
        <w:tab w:val="right" w:pos="9355"/>
      </w:tabs>
      <w:spacing w:after="0" w:line="240" w:lineRule="auto"/>
    </w:pPr>
  </w:style>
  <w:style w:type="character" w:customStyle="1" w:styleId="a9">
    <w:name w:val="Нижний колонтитул Знак"/>
    <w:link w:val="a8"/>
    <w:uiPriority w:val="99"/>
    <w:locked/>
    <w:rsid w:val="00EB285A"/>
    <w:rPr>
      <w:rFonts w:cs="Times New Roman"/>
    </w:rPr>
  </w:style>
  <w:style w:type="paragraph" w:styleId="aa">
    <w:name w:val="List Paragraph"/>
    <w:basedOn w:val="a"/>
    <w:uiPriority w:val="34"/>
    <w:qFormat/>
    <w:rsid w:val="00FA0EB0"/>
    <w:pPr>
      <w:ind w:left="720"/>
      <w:contextualSpacing/>
    </w:pPr>
  </w:style>
  <w:style w:type="paragraph" w:styleId="ab">
    <w:name w:val="Plain Text"/>
    <w:basedOn w:val="a"/>
    <w:link w:val="ac"/>
    <w:uiPriority w:val="99"/>
    <w:rsid w:val="00FA0EB0"/>
    <w:pPr>
      <w:autoSpaceDE w:val="0"/>
      <w:autoSpaceDN w:val="0"/>
      <w:spacing w:after="0" w:line="240" w:lineRule="auto"/>
    </w:pPr>
    <w:rPr>
      <w:rFonts w:ascii="Courier New" w:hAnsi="Courier New" w:cs="Courier New"/>
      <w:sz w:val="20"/>
      <w:szCs w:val="20"/>
      <w:lang w:eastAsia="ru-RU"/>
    </w:rPr>
  </w:style>
  <w:style w:type="character" w:customStyle="1" w:styleId="ac">
    <w:name w:val="Текст Знак"/>
    <w:link w:val="ab"/>
    <w:uiPriority w:val="99"/>
    <w:locked/>
    <w:rsid w:val="00FA0EB0"/>
    <w:rPr>
      <w:rFonts w:ascii="Courier New" w:hAnsi="Courier New" w:cs="Courier New"/>
      <w:sz w:val="20"/>
      <w:szCs w:val="20"/>
      <w:lang w:val="x-none" w:eastAsia="ru-RU"/>
    </w:rPr>
  </w:style>
  <w:style w:type="character" w:styleId="HTML">
    <w:name w:val="HTML Code"/>
    <w:uiPriority w:val="99"/>
    <w:semiHidden/>
    <w:unhideWhenUsed/>
    <w:rsid w:val="007B1E87"/>
    <w:rPr>
      <w:rFonts w:ascii="Courier New" w:hAnsi="Courier New" w:cs="Courier New"/>
      <w:sz w:val="20"/>
      <w:szCs w:val="20"/>
    </w:rPr>
  </w:style>
  <w:style w:type="paragraph" w:styleId="11">
    <w:name w:val="toc 1"/>
    <w:basedOn w:val="a"/>
    <w:next w:val="a"/>
    <w:autoRedefine/>
    <w:uiPriority w:val="39"/>
    <w:unhideWhenUsed/>
    <w:rsid w:val="0056700B"/>
    <w:pPr>
      <w:spacing w:after="100"/>
    </w:pPr>
  </w:style>
  <w:style w:type="character" w:styleId="ad">
    <w:name w:val="Hyperlink"/>
    <w:uiPriority w:val="99"/>
    <w:unhideWhenUsed/>
    <w:rsid w:val="0056700B"/>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1F9B25-7994-4E70-ABB5-27599F457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10024</Words>
  <Characters>57140</Characters>
  <Application>Microsoft Office Word</Application>
  <DocSecurity>0</DocSecurity>
  <Lines>476</Lines>
  <Paragraphs>134</Paragraphs>
  <ScaleCrop>false</ScaleCrop>
  <HeadingPairs>
    <vt:vector size="2" baseType="variant">
      <vt:variant>
        <vt:lpstr>Название</vt:lpstr>
      </vt:variant>
      <vt:variant>
        <vt:i4>1</vt:i4>
      </vt:variant>
    </vt:vector>
  </HeadingPairs>
  <TitlesOfParts>
    <vt:vector size="1" baseType="lpstr">
      <vt:lpstr/>
    </vt:vector>
  </TitlesOfParts>
  <Company>дом</Company>
  <LinksUpToDate>false</LinksUpToDate>
  <CharactersWithSpaces>67030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dc:creator>
  <cp:keywords/>
  <dc:description/>
  <cp:lastModifiedBy>admin</cp:lastModifiedBy>
  <cp:revision>2</cp:revision>
  <dcterms:created xsi:type="dcterms:W3CDTF">2014-03-09T03:14:00Z</dcterms:created>
  <dcterms:modified xsi:type="dcterms:W3CDTF">2014-03-09T03:14:00Z</dcterms:modified>
</cp:coreProperties>
</file>