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348" w:rsidRPr="001409BA" w:rsidRDefault="00FE2348" w:rsidP="00FE2348">
      <w:pPr>
        <w:spacing w:before="120"/>
        <w:jc w:val="center"/>
        <w:rPr>
          <w:b/>
          <w:bCs/>
          <w:sz w:val="32"/>
          <w:szCs w:val="32"/>
        </w:rPr>
      </w:pPr>
      <w:r w:rsidRPr="001409BA">
        <w:rPr>
          <w:b/>
          <w:bCs/>
          <w:sz w:val="32"/>
          <w:szCs w:val="32"/>
        </w:rPr>
        <w:t xml:space="preserve">Парсиваль </w:t>
      </w:r>
    </w:p>
    <w:p w:rsidR="00FE2348" w:rsidRPr="00436AF4" w:rsidRDefault="00FE2348" w:rsidP="00FE2348">
      <w:pPr>
        <w:spacing w:before="120"/>
        <w:ind w:firstLine="567"/>
        <w:jc w:val="both"/>
        <w:rPr>
          <w:sz w:val="24"/>
          <w:szCs w:val="24"/>
        </w:rPr>
      </w:pPr>
      <w:r w:rsidRPr="00436AF4">
        <w:rPr>
          <w:sz w:val="24"/>
          <w:szCs w:val="24"/>
        </w:rPr>
        <w:t xml:space="preserve">Парсиваль </w:t>
      </w:r>
      <w:r>
        <w:rPr>
          <w:sz w:val="24"/>
          <w:szCs w:val="24"/>
        </w:rPr>
        <w:t>(</w:t>
      </w:r>
      <w:r w:rsidRPr="00436AF4">
        <w:rPr>
          <w:sz w:val="24"/>
          <w:szCs w:val="24"/>
        </w:rPr>
        <w:t>франц. — Perceval, немец. — Parzival, англ. — Percyvelle</w:t>
      </w:r>
      <w:r>
        <w:rPr>
          <w:sz w:val="24"/>
          <w:szCs w:val="24"/>
        </w:rPr>
        <w:t>)</w:t>
      </w:r>
      <w:r w:rsidRPr="00436AF4">
        <w:rPr>
          <w:sz w:val="24"/>
          <w:szCs w:val="24"/>
        </w:rPr>
        <w:t xml:space="preserve"> — герой куртуазного эпоса, образующего одну из ветвей сказания о короле Артуре и его рыцарях и входящего так. обр. в цикл романов Круглого стола. Важнейшими из обработок сюжета являются: французский стихотворный роман «Perceval le Gallois, ou Le conte del Graal», начатый, но не законченный Кретьеном деТруа </w:t>
      </w:r>
      <w:r>
        <w:rPr>
          <w:sz w:val="24"/>
          <w:szCs w:val="24"/>
        </w:rPr>
        <w:t>(</w:t>
      </w:r>
      <w:r w:rsidRPr="00436AF4">
        <w:rPr>
          <w:sz w:val="24"/>
          <w:szCs w:val="24"/>
        </w:rPr>
        <w:t>ум. ок. 1180</w:t>
      </w:r>
      <w:r>
        <w:rPr>
          <w:sz w:val="24"/>
          <w:szCs w:val="24"/>
        </w:rPr>
        <w:t>)</w:t>
      </w:r>
      <w:r w:rsidRPr="00436AF4">
        <w:rPr>
          <w:sz w:val="24"/>
          <w:szCs w:val="24"/>
        </w:rPr>
        <w:t xml:space="preserve"> и продолженный поэтами XIII в. Wauchier de Denain, Manessier и Gerbert de Montreuil; немецкая переработка сюжета — «Parzival» Вольфрама фон Эшенбаха </w:t>
      </w:r>
      <w:r>
        <w:rPr>
          <w:sz w:val="24"/>
          <w:szCs w:val="24"/>
        </w:rPr>
        <w:t>(</w:t>
      </w:r>
      <w:r w:rsidRPr="00436AF4">
        <w:rPr>
          <w:sz w:val="24"/>
          <w:szCs w:val="24"/>
        </w:rPr>
        <w:t>ок. 1210</w:t>
      </w:r>
      <w:r>
        <w:rPr>
          <w:sz w:val="24"/>
          <w:szCs w:val="24"/>
        </w:rPr>
        <w:t>)</w:t>
      </w:r>
      <w:r w:rsidRPr="00436AF4">
        <w:rPr>
          <w:sz w:val="24"/>
          <w:szCs w:val="24"/>
        </w:rPr>
        <w:t xml:space="preserve">; позднейшие прозаические французские романы XIII—XIV вв. — «Perceval li Gallois» или «Perlesvaus»; среднеанглийская метрическая обработка XV в. — «Sir Percyvelle of Galles»; один из валлийских — </w:t>
      </w:r>
      <w:r w:rsidRPr="00FE2348">
        <w:rPr>
          <w:sz w:val="24"/>
          <w:szCs w:val="24"/>
          <w:lang w:val="en-US"/>
        </w:rPr>
        <w:t xml:space="preserve">  </w:t>
      </w:r>
      <w:r w:rsidRPr="003E3D42">
        <w:rPr>
          <w:sz w:val="24"/>
          <w:szCs w:val="24"/>
          <w:lang w:val="en-US"/>
        </w:rPr>
        <w:t xml:space="preserve">XIII </w:t>
      </w:r>
      <w:r w:rsidRPr="00436AF4">
        <w:rPr>
          <w:sz w:val="24"/>
          <w:szCs w:val="24"/>
        </w:rPr>
        <w:t>в</w:t>
      </w:r>
      <w:r w:rsidRPr="003E3D42">
        <w:rPr>
          <w:sz w:val="24"/>
          <w:szCs w:val="24"/>
          <w:lang w:val="en-US"/>
        </w:rPr>
        <w:t xml:space="preserve">. — «Peredur </w:t>
      </w:r>
      <w:r w:rsidRPr="00436AF4">
        <w:rPr>
          <w:sz w:val="24"/>
          <w:szCs w:val="24"/>
        </w:rPr>
        <w:t>ар</w:t>
      </w:r>
      <w:r w:rsidRPr="003E3D42">
        <w:rPr>
          <w:sz w:val="24"/>
          <w:szCs w:val="24"/>
          <w:lang w:val="en-US"/>
        </w:rPr>
        <w:t xml:space="preserve"> Efrawc». </w:t>
      </w:r>
      <w:r w:rsidRPr="00436AF4">
        <w:rPr>
          <w:sz w:val="24"/>
          <w:szCs w:val="24"/>
        </w:rPr>
        <w:t xml:space="preserve">Значительное число дошедших до нас рукописей и относящихся к той же эпохе переводов на другие европ. яз. (голландский, исландский) свидетельствует об огромной популярности сюжета. </w:t>
      </w:r>
    </w:p>
    <w:p w:rsidR="00FE2348" w:rsidRDefault="00FE2348" w:rsidP="00FE2348">
      <w:pPr>
        <w:spacing w:before="120"/>
        <w:ind w:firstLine="567"/>
        <w:jc w:val="both"/>
        <w:rPr>
          <w:sz w:val="24"/>
          <w:szCs w:val="24"/>
        </w:rPr>
      </w:pPr>
      <w:r w:rsidRPr="00436AF4">
        <w:rPr>
          <w:sz w:val="24"/>
          <w:szCs w:val="24"/>
        </w:rPr>
        <w:t xml:space="preserve">Уже в первой из дошедших до нас обработке — незаконченном «Сказании о Граале» Кретьена де Труа — роман представляет сложное многочленное фабульное целое, в </w:t>
      </w:r>
      <w:r>
        <w:rPr>
          <w:sz w:val="24"/>
          <w:szCs w:val="24"/>
        </w:rPr>
        <w:t>котор</w:t>
      </w:r>
      <w:r w:rsidRPr="00436AF4">
        <w:rPr>
          <w:sz w:val="24"/>
          <w:szCs w:val="24"/>
        </w:rPr>
        <w:t xml:space="preserve">ом соединяются две сюжетные линии: 1 — история «простеца» П., воспитанного в лесном уединении, юноши, одаренного рыцарскими доблестями, но лишенного рыцарской куртуазии, переживающего ряд полукомических приключений и с трудом усваивающего «вежество» подлинного рыцаря, и 2 — история поисков Грааля — загадочного талисмана, хранящегося в таинственном замке, с владетеля которого </w:t>
      </w:r>
    </w:p>
    <w:p w:rsidR="00FE2348" w:rsidRPr="00436AF4" w:rsidRDefault="00FE2348" w:rsidP="00FE2348">
      <w:pPr>
        <w:spacing w:before="120"/>
        <w:ind w:firstLine="567"/>
        <w:jc w:val="both"/>
        <w:rPr>
          <w:sz w:val="24"/>
          <w:szCs w:val="24"/>
        </w:rPr>
      </w:pPr>
      <w:r w:rsidRPr="00436AF4">
        <w:rPr>
          <w:sz w:val="24"/>
          <w:szCs w:val="24"/>
        </w:rPr>
        <w:t xml:space="preserve">П. суждено снять заклятие, тяготеющее над ним. Именно эта последняя сюжетная линия, в </w:t>
      </w:r>
      <w:r>
        <w:rPr>
          <w:sz w:val="24"/>
          <w:szCs w:val="24"/>
        </w:rPr>
        <w:t>котор</w:t>
      </w:r>
      <w:r w:rsidRPr="00436AF4">
        <w:rPr>
          <w:sz w:val="24"/>
          <w:szCs w:val="24"/>
        </w:rPr>
        <w:t xml:space="preserve">ой скрещиваются элементы кельтских дохристианских мифов с мотивами христианской мистики, получает особое развитие в дальнейшей истории романа; уже у Вольфрама она используется для прославления организации рыцарских орденов (в первую очередь храмовников), в дальнейшем же эта часть сюжета получает самостоятельное развитие, сливаясь с апокрифической историей Иосифа Аримафейского и разрастаясь в огромный цикл романов о св. Граале (важнейшие обработки: уже упомянутый выше прозаический роман «Perceval li Gallois» XIII в., прозаический «Perceval» из коллекции A. Firmin-Didot, прозаическая же «Queste de St. Graal», «Le grand St. Graal» и позднейшие их переделки на различных европейских языках), в </w:t>
      </w:r>
      <w:r>
        <w:rPr>
          <w:sz w:val="24"/>
          <w:szCs w:val="24"/>
        </w:rPr>
        <w:t>котор</w:t>
      </w:r>
      <w:r w:rsidRPr="00436AF4">
        <w:rPr>
          <w:sz w:val="24"/>
          <w:szCs w:val="24"/>
        </w:rPr>
        <w:t xml:space="preserve">ом П. играет уже второстепенную роль или совсем уступает место рыцарю-аскету — девственному Галааду, сыну грешного, но величайшего из рыцарей —  . В XIX в. историю П. драматизировал в своей одноименной музыкальной драме Рих. Вагнер. </w:t>
      </w:r>
    </w:p>
    <w:p w:rsidR="00FE2348" w:rsidRPr="00436AF4" w:rsidRDefault="00FE2348" w:rsidP="00FE2348">
      <w:pPr>
        <w:spacing w:before="120"/>
        <w:ind w:firstLine="567"/>
        <w:jc w:val="both"/>
        <w:rPr>
          <w:sz w:val="24"/>
          <w:szCs w:val="24"/>
        </w:rPr>
      </w:pPr>
      <w:r w:rsidRPr="00436AF4">
        <w:rPr>
          <w:sz w:val="24"/>
          <w:szCs w:val="24"/>
        </w:rPr>
        <w:t xml:space="preserve">Лит-pa о П. огромна, совпадая в значительной своей части с </w:t>
      </w:r>
      <w:r>
        <w:rPr>
          <w:sz w:val="24"/>
          <w:szCs w:val="24"/>
        </w:rPr>
        <w:t>литератур</w:t>
      </w:r>
      <w:r w:rsidRPr="00436AF4">
        <w:rPr>
          <w:sz w:val="24"/>
          <w:szCs w:val="24"/>
        </w:rPr>
        <w:t xml:space="preserve">ой о всем цикле романов Круглого стола. Сложная структура сюжета П. при господствовавших в медиевистике методах исследования — филологическом и сравнительно-историческом — не могла не вызвать ожесточенных споров, основными пунктами </w:t>
      </w:r>
      <w:r>
        <w:rPr>
          <w:sz w:val="24"/>
          <w:szCs w:val="24"/>
        </w:rPr>
        <w:t>котор</w:t>
      </w:r>
      <w:r w:rsidRPr="00436AF4">
        <w:rPr>
          <w:sz w:val="24"/>
          <w:szCs w:val="24"/>
        </w:rPr>
        <w:t xml:space="preserve">ых являются: вопрос об источниках отдельных элементов сюжета, в особенности вопрос о первоначальном значении Грааля, вопрос о первоначальной форме сюжета (в частности о соотношении франц. и нем. версий) и вопрос о месте зарождения сюжета. Как ни полезны эти изыскания для уяснения отдельных источников П., в частности для уяснения взаимоотношения кельтских и французских, дохристианских и христианских элементов в его целом, они все же уводят нас от подлинных памятников с их сложным, актуальным для рыцарства XII—XIV вв. содержанием в область схематич. реконструкций; засвидетельствованный цикл П., с его сублимацией рыцарства как искупителя человечества, с его густым наслоением внецерковной, внеритуальной апокрифич. мистики, с его пафосом аскезы, постепенно вытесняющим первоначально проникающее сюжетную линию П. более мирское прославление рыцарской куртуазии, ждет еще своей истории. </w:t>
      </w:r>
    </w:p>
    <w:p w:rsidR="00FE2348" w:rsidRPr="001409BA" w:rsidRDefault="00FE2348" w:rsidP="00FE2348">
      <w:pPr>
        <w:spacing w:before="120"/>
        <w:jc w:val="center"/>
        <w:rPr>
          <w:b/>
          <w:bCs/>
          <w:sz w:val="28"/>
          <w:szCs w:val="28"/>
        </w:rPr>
      </w:pPr>
      <w:r w:rsidRPr="001409BA">
        <w:rPr>
          <w:b/>
          <w:bCs/>
          <w:sz w:val="28"/>
          <w:szCs w:val="28"/>
        </w:rPr>
        <w:t>Список литературы</w:t>
      </w:r>
    </w:p>
    <w:p w:rsidR="00FE2348" w:rsidRDefault="00FE2348" w:rsidP="00FE2348">
      <w:pPr>
        <w:spacing w:before="120"/>
        <w:ind w:firstLine="567"/>
        <w:jc w:val="both"/>
        <w:rPr>
          <w:sz w:val="24"/>
          <w:szCs w:val="24"/>
        </w:rPr>
      </w:pPr>
      <w:r w:rsidRPr="00436AF4">
        <w:rPr>
          <w:sz w:val="24"/>
          <w:szCs w:val="24"/>
        </w:rPr>
        <w:t xml:space="preserve">Из огромной </w:t>
      </w:r>
      <w:r>
        <w:rPr>
          <w:sz w:val="24"/>
          <w:szCs w:val="24"/>
        </w:rPr>
        <w:t>литератур</w:t>
      </w:r>
      <w:r w:rsidRPr="00436AF4">
        <w:rPr>
          <w:sz w:val="24"/>
          <w:szCs w:val="24"/>
        </w:rPr>
        <w:t>ы вопроса приводятся только наиболее важные труды: Birch-Hirschfeld A., Die Sage vom Gral, Lpz., 1877</w:t>
      </w:r>
      <w:r>
        <w:rPr>
          <w:sz w:val="24"/>
          <w:szCs w:val="24"/>
        </w:rPr>
        <w:t xml:space="preserve"> </w:t>
      </w:r>
    </w:p>
    <w:p w:rsidR="00FE2348" w:rsidRDefault="00FE2348" w:rsidP="00FE2348">
      <w:pPr>
        <w:spacing w:before="120"/>
        <w:ind w:firstLine="567"/>
        <w:jc w:val="both"/>
        <w:rPr>
          <w:sz w:val="24"/>
          <w:szCs w:val="24"/>
          <w:lang w:val="en-US"/>
        </w:rPr>
      </w:pPr>
      <w:r w:rsidRPr="001409BA">
        <w:rPr>
          <w:sz w:val="24"/>
          <w:szCs w:val="24"/>
          <w:lang w:val="en-US"/>
        </w:rPr>
        <w:t xml:space="preserve">Heinzel R.., Ueber die franz. </w:t>
      </w:r>
      <w:r w:rsidRPr="003E3D42">
        <w:rPr>
          <w:sz w:val="24"/>
          <w:szCs w:val="24"/>
          <w:lang w:val="en-US"/>
        </w:rPr>
        <w:t>Gralromane, Wien, 1891</w:t>
      </w:r>
      <w:r>
        <w:rPr>
          <w:sz w:val="24"/>
          <w:szCs w:val="24"/>
          <w:lang w:val="en-US"/>
        </w:rPr>
        <w:t xml:space="preserve"> </w:t>
      </w:r>
    </w:p>
    <w:p w:rsidR="00FE2348" w:rsidRDefault="00FE2348" w:rsidP="00FE2348">
      <w:pPr>
        <w:spacing w:before="120"/>
        <w:ind w:firstLine="567"/>
        <w:jc w:val="both"/>
        <w:rPr>
          <w:sz w:val="24"/>
          <w:szCs w:val="24"/>
          <w:lang w:val="en-US"/>
        </w:rPr>
      </w:pPr>
      <w:r w:rsidRPr="003E3D42">
        <w:rPr>
          <w:sz w:val="24"/>
          <w:szCs w:val="24"/>
          <w:lang w:val="en-US"/>
        </w:rPr>
        <w:t>Nutt A., Studies on the Legend of the Grail, L.,1888</w:t>
      </w:r>
      <w:r>
        <w:rPr>
          <w:sz w:val="24"/>
          <w:szCs w:val="24"/>
          <w:lang w:val="en-US"/>
        </w:rPr>
        <w:t xml:space="preserve"> </w:t>
      </w:r>
    </w:p>
    <w:p w:rsidR="00FE2348" w:rsidRDefault="00FE2348" w:rsidP="00FE2348">
      <w:pPr>
        <w:spacing w:before="120"/>
        <w:ind w:firstLine="567"/>
        <w:jc w:val="both"/>
        <w:rPr>
          <w:sz w:val="24"/>
          <w:szCs w:val="24"/>
          <w:lang w:val="en-US"/>
        </w:rPr>
      </w:pPr>
      <w:r w:rsidRPr="00436AF4">
        <w:rPr>
          <w:sz w:val="24"/>
          <w:szCs w:val="24"/>
        </w:rPr>
        <w:t>Его</w:t>
      </w:r>
      <w:r w:rsidRPr="003E3D42">
        <w:rPr>
          <w:sz w:val="24"/>
          <w:szCs w:val="24"/>
          <w:lang w:val="en-US"/>
        </w:rPr>
        <w:t xml:space="preserve"> </w:t>
      </w:r>
      <w:r w:rsidRPr="00436AF4">
        <w:rPr>
          <w:sz w:val="24"/>
          <w:szCs w:val="24"/>
        </w:rPr>
        <w:t>же</w:t>
      </w:r>
      <w:r w:rsidRPr="003E3D42">
        <w:rPr>
          <w:sz w:val="24"/>
          <w:szCs w:val="24"/>
          <w:lang w:val="en-US"/>
        </w:rPr>
        <w:t>, The Legends of the Holy Grail, L., 1902</w:t>
      </w:r>
      <w:r>
        <w:rPr>
          <w:sz w:val="24"/>
          <w:szCs w:val="24"/>
          <w:lang w:val="en-US"/>
        </w:rPr>
        <w:t xml:space="preserve"> </w:t>
      </w:r>
    </w:p>
    <w:p w:rsidR="00FE2348" w:rsidRDefault="00FE2348" w:rsidP="00FE2348">
      <w:pPr>
        <w:spacing w:before="120"/>
        <w:ind w:firstLine="567"/>
        <w:jc w:val="both"/>
        <w:rPr>
          <w:sz w:val="24"/>
          <w:szCs w:val="24"/>
          <w:lang w:val="en-US"/>
        </w:rPr>
      </w:pPr>
      <w:r w:rsidRPr="003E3D42">
        <w:rPr>
          <w:sz w:val="24"/>
          <w:szCs w:val="24"/>
          <w:lang w:val="en-US"/>
        </w:rPr>
        <w:t>Weston J. L., The Legend of Sir Perceval, 2 vv., L., 1906—1909</w:t>
      </w:r>
      <w:r>
        <w:rPr>
          <w:sz w:val="24"/>
          <w:szCs w:val="24"/>
          <w:lang w:val="en-US"/>
        </w:rPr>
        <w:t xml:space="preserve"> </w:t>
      </w:r>
    </w:p>
    <w:p w:rsidR="00FE2348" w:rsidRDefault="00FE2348" w:rsidP="00FE2348">
      <w:pPr>
        <w:spacing w:before="120"/>
        <w:ind w:firstLine="567"/>
        <w:jc w:val="both"/>
        <w:rPr>
          <w:sz w:val="24"/>
          <w:szCs w:val="24"/>
          <w:lang w:val="en-US"/>
        </w:rPr>
      </w:pPr>
      <w:r w:rsidRPr="003E3D42">
        <w:rPr>
          <w:sz w:val="24"/>
          <w:szCs w:val="24"/>
          <w:lang w:val="en-US"/>
        </w:rPr>
        <w:t>Hertz W., Parzival von Wolfram von Eschenbach, Stuttgart, 1914 (</w:t>
      </w:r>
      <w:r w:rsidRPr="00436AF4">
        <w:rPr>
          <w:sz w:val="24"/>
          <w:szCs w:val="24"/>
        </w:rPr>
        <w:t>комментарии</w:t>
      </w:r>
      <w:r w:rsidRPr="003E3D42">
        <w:rPr>
          <w:sz w:val="24"/>
          <w:szCs w:val="24"/>
          <w:lang w:val="en-US"/>
        </w:rPr>
        <w:t>)</w:t>
      </w:r>
      <w:r>
        <w:rPr>
          <w:sz w:val="24"/>
          <w:szCs w:val="24"/>
          <w:lang w:val="en-US"/>
        </w:rPr>
        <w:t xml:space="preserve"> </w:t>
      </w:r>
    </w:p>
    <w:p w:rsidR="00FE2348" w:rsidRDefault="00FE2348" w:rsidP="00FE2348">
      <w:pPr>
        <w:spacing w:before="120"/>
        <w:ind w:firstLine="567"/>
        <w:jc w:val="both"/>
        <w:rPr>
          <w:sz w:val="24"/>
          <w:szCs w:val="24"/>
          <w:lang w:val="en-US"/>
        </w:rPr>
      </w:pPr>
      <w:r w:rsidRPr="003E3D42">
        <w:rPr>
          <w:sz w:val="24"/>
          <w:szCs w:val="24"/>
          <w:lang w:val="en-US"/>
        </w:rPr>
        <w:t>Wechssler E., Die Sage vom heiligen Gral, Halle, 1902</w:t>
      </w:r>
      <w:r>
        <w:rPr>
          <w:sz w:val="24"/>
          <w:szCs w:val="24"/>
          <w:lang w:val="en-US"/>
        </w:rPr>
        <w:t xml:space="preserve"> </w:t>
      </w:r>
    </w:p>
    <w:p w:rsidR="00FE2348" w:rsidRDefault="00FE2348" w:rsidP="00FE2348">
      <w:pPr>
        <w:spacing w:before="120"/>
        <w:ind w:firstLine="567"/>
        <w:jc w:val="both"/>
        <w:rPr>
          <w:sz w:val="24"/>
          <w:szCs w:val="24"/>
          <w:lang w:val="en-US"/>
        </w:rPr>
      </w:pPr>
      <w:r w:rsidRPr="003E3D42">
        <w:rPr>
          <w:sz w:val="24"/>
          <w:szCs w:val="24"/>
          <w:lang w:val="en-US"/>
        </w:rPr>
        <w:t>Baist, Parzival u. der Gral, Freiburg, 1909</w:t>
      </w:r>
      <w:r>
        <w:rPr>
          <w:sz w:val="24"/>
          <w:szCs w:val="24"/>
          <w:lang w:val="en-US"/>
        </w:rPr>
        <w:t xml:space="preserve"> </w:t>
      </w:r>
    </w:p>
    <w:p w:rsidR="00FE2348" w:rsidRDefault="00FE2348" w:rsidP="00FE2348">
      <w:pPr>
        <w:spacing w:before="120"/>
        <w:ind w:firstLine="567"/>
        <w:jc w:val="both"/>
        <w:rPr>
          <w:sz w:val="24"/>
          <w:szCs w:val="24"/>
          <w:lang w:val="en-US"/>
        </w:rPr>
      </w:pPr>
      <w:r w:rsidRPr="003E3D42">
        <w:rPr>
          <w:sz w:val="24"/>
          <w:szCs w:val="24"/>
          <w:lang w:val="en-US"/>
        </w:rPr>
        <w:t>Staerk W., Ueber den Ursprung der Grallegende, Tübingen, 1903</w:t>
      </w:r>
      <w:r>
        <w:rPr>
          <w:sz w:val="24"/>
          <w:szCs w:val="24"/>
          <w:lang w:val="en-US"/>
        </w:rPr>
        <w:t xml:space="preserve"> </w:t>
      </w:r>
    </w:p>
    <w:p w:rsidR="00FE2348" w:rsidRDefault="00FE2348" w:rsidP="00FE2348">
      <w:pPr>
        <w:spacing w:before="120"/>
        <w:ind w:firstLine="567"/>
        <w:jc w:val="both"/>
        <w:rPr>
          <w:sz w:val="24"/>
          <w:szCs w:val="24"/>
          <w:lang w:val="en-US"/>
        </w:rPr>
      </w:pPr>
      <w:r w:rsidRPr="003E3D42">
        <w:rPr>
          <w:sz w:val="24"/>
          <w:szCs w:val="24"/>
          <w:lang w:val="en-US"/>
        </w:rPr>
        <w:t>Junk V., Gralsage u. Graldichtung des Mittelalters, Wien, 1912</w:t>
      </w:r>
      <w:r>
        <w:rPr>
          <w:sz w:val="24"/>
          <w:szCs w:val="24"/>
          <w:lang w:val="en-US"/>
        </w:rPr>
        <w:t xml:space="preserve"> </w:t>
      </w:r>
    </w:p>
    <w:p w:rsidR="00FE2348" w:rsidRDefault="00FE2348" w:rsidP="00FE2348">
      <w:pPr>
        <w:spacing w:before="120"/>
        <w:ind w:firstLine="567"/>
        <w:jc w:val="both"/>
        <w:rPr>
          <w:sz w:val="24"/>
          <w:szCs w:val="24"/>
          <w:lang w:val="en-US"/>
        </w:rPr>
      </w:pPr>
      <w:r w:rsidRPr="003E3D42">
        <w:rPr>
          <w:sz w:val="24"/>
          <w:szCs w:val="24"/>
          <w:lang w:val="en-US"/>
        </w:rPr>
        <w:t>Weston J. L., The Quest of the Holy Grail, v. I, L., 1913</w:t>
      </w:r>
      <w:r>
        <w:rPr>
          <w:sz w:val="24"/>
          <w:szCs w:val="24"/>
          <w:lang w:val="en-US"/>
        </w:rPr>
        <w:t xml:space="preserve"> </w:t>
      </w:r>
    </w:p>
    <w:p w:rsidR="00FE2348" w:rsidRDefault="00FE2348" w:rsidP="00FE2348">
      <w:pPr>
        <w:spacing w:before="120"/>
        <w:ind w:firstLine="567"/>
        <w:jc w:val="both"/>
        <w:rPr>
          <w:sz w:val="24"/>
          <w:szCs w:val="24"/>
          <w:lang w:val="en-US"/>
        </w:rPr>
      </w:pPr>
      <w:r w:rsidRPr="003E3D42">
        <w:rPr>
          <w:sz w:val="24"/>
          <w:szCs w:val="24"/>
          <w:lang w:val="en-US"/>
        </w:rPr>
        <w:t xml:space="preserve">Golther W., Parzival und der Gral in der Dichtung des Mittelalters und der Neuzeit, Stuttgart, 1925. </w:t>
      </w:r>
    </w:p>
    <w:p w:rsidR="00B42C45" w:rsidRDefault="00B42C45">
      <w:bookmarkStart w:id="0" w:name="_GoBack"/>
      <w:bookmarkEnd w:id="0"/>
    </w:p>
    <w:sectPr w:rsidR="00B42C45" w:rsidSect="00710178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E2348"/>
    <w:rsid w:val="00002B5A"/>
    <w:rsid w:val="0010437E"/>
    <w:rsid w:val="001409BA"/>
    <w:rsid w:val="00272809"/>
    <w:rsid w:val="00316F32"/>
    <w:rsid w:val="003C393A"/>
    <w:rsid w:val="003E3D42"/>
    <w:rsid w:val="00436AF4"/>
    <w:rsid w:val="00616072"/>
    <w:rsid w:val="006A5004"/>
    <w:rsid w:val="00710178"/>
    <w:rsid w:val="008B35EE"/>
    <w:rsid w:val="00905CC1"/>
    <w:rsid w:val="00B043BA"/>
    <w:rsid w:val="00B42C45"/>
    <w:rsid w:val="00B47B6A"/>
    <w:rsid w:val="00FE2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DE54AD4D-3DA5-4E78-A4BD-4233BC2FF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23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FE23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681</Words>
  <Characters>3885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Парсиваль </vt:lpstr>
    </vt:vector>
  </TitlesOfParts>
  <Company>Home</Company>
  <LinksUpToDate>false</LinksUpToDate>
  <CharactersWithSpaces>4557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Парсиваль </dc:title>
  <dc:subject/>
  <dc:creator>User</dc:creator>
  <cp:keywords/>
  <dc:description/>
  <cp:lastModifiedBy>admin</cp:lastModifiedBy>
  <cp:revision>2</cp:revision>
  <dcterms:created xsi:type="dcterms:W3CDTF">2014-02-15T02:21:00Z</dcterms:created>
  <dcterms:modified xsi:type="dcterms:W3CDTF">2014-02-15T02:21:00Z</dcterms:modified>
</cp:coreProperties>
</file>