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A87" w:rsidRDefault="005C3A87">
      <w:pPr>
        <w:pStyle w:val="2"/>
        <w:keepNext w:val="0"/>
        <w:ind w:firstLine="567"/>
        <w:rPr>
          <w:rFonts w:ascii="Book Antiqua" w:hAnsi="Book Antiqua" w:cs="Book Antiqua"/>
          <w:b/>
          <w:bCs/>
          <w:i/>
          <w:iCs/>
          <w:sz w:val="36"/>
          <w:szCs w:val="36"/>
        </w:rPr>
      </w:pPr>
      <w:r>
        <w:rPr>
          <w:rFonts w:ascii="Book Antiqua" w:hAnsi="Book Antiqua" w:cs="Book Antiqua"/>
          <w:b/>
          <w:bCs/>
          <w:i/>
          <w:iCs/>
          <w:sz w:val="36"/>
          <w:szCs w:val="36"/>
        </w:rPr>
        <w:t xml:space="preserve">ПОПИТ, ПРОПОНУВАННЯ, ЦІНА. </w:t>
      </w:r>
    </w:p>
    <w:p w:rsidR="005C3A87" w:rsidRDefault="005C3A87">
      <w:pPr>
        <w:pStyle w:val="2"/>
        <w:keepNext w:val="0"/>
        <w:ind w:firstLine="567"/>
        <w:rPr>
          <w:rFonts w:ascii="Book Antiqua" w:hAnsi="Book Antiqua" w:cs="Book Antiqua"/>
          <w:b/>
          <w:bCs/>
          <w:i/>
          <w:iCs/>
          <w:sz w:val="36"/>
          <w:szCs w:val="36"/>
        </w:rPr>
      </w:pPr>
      <w:r>
        <w:rPr>
          <w:rFonts w:ascii="Book Antiqua" w:hAnsi="Book Antiqua" w:cs="Book Antiqua"/>
          <w:b/>
          <w:bCs/>
          <w:i/>
          <w:iCs/>
          <w:sz w:val="36"/>
          <w:szCs w:val="36"/>
        </w:rPr>
        <w:t xml:space="preserve">          РИНКОВА РІВНОВАГА</w:t>
      </w:r>
    </w:p>
    <w:p w:rsidR="005C3A87" w:rsidRDefault="005C3A87">
      <w:pPr>
        <w:ind w:firstLine="567"/>
        <w:jc w:val="both"/>
        <w:rPr>
          <w:sz w:val="16"/>
          <w:szCs w:val="16"/>
        </w:rPr>
      </w:pP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Всі мікроекономічні суб’єкти взаємодіють через ринок, який характеризують такі основні змінні: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попит, пропонуван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softHyphen/>
        <w:t>ня, ціна.</w:t>
      </w:r>
      <w:r>
        <w:rPr>
          <w:rFonts w:ascii="Times New Roman" w:hAnsi="Times New Roman" w:cs="Times New Roman"/>
          <w:sz w:val="28"/>
          <w:szCs w:val="28"/>
        </w:rPr>
        <w:t xml:space="preserve"> Вони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тісно пов’язані і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взаємно впливають</w:t>
      </w:r>
      <w:r>
        <w:rPr>
          <w:rFonts w:ascii="Times New Roman" w:hAnsi="Times New Roman" w:cs="Times New Roman"/>
          <w:sz w:val="28"/>
          <w:szCs w:val="28"/>
        </w:rPr>
        <w:t xml:space="preserve"> одна на одну, формуючи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ринковий механізм саморегулювання.</w:t>
      </w:r>
      <w:r>
        <w:rPr>
          <w:rFonts w:ascii="Times New Roman" w:hAnsi="Times New Roman" w:cs="Times New Roman"/>
          <w:sz w:val="28"/>
          <w:szCs w:val="28"/>
        </w:rPr>
        <w:t xml:space="preserve"> Поведінку покупців описує категорія „попит”, поведінку продавців </w:t>
      </w:r>
      <w:r>
        <w:rPr>
          <w:rFonts w:ascii="Times New Roman" w:hAnsi="Times New Roman" w:cs="Times New Roman"/>
          <w:sz w:val="28"/>
          <w:szCs w:val="28"/>
          <w:lang w:val="ru-RU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категорія „пропонування”.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Ринкова ціна</w:t>
      </w:r>
      <w:r>
        <w:rPr>
          <w:rFonts w:ascii="Times New Roman" w:hAnsi="Times New Roman" w:cs="Times New Roman"/>
          <w:sz w:val="28"/>
          <w:szCs w:val="28"/>
        </w:rPr>
        <w:t xml:space="preserve"> визначається як результат складної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взаємодії </w:t>
      </w:r>
      <w:r>
        <w:rPr>
          <w:rFonts w:ascii="Times New Roman" w:hAnsi="Times New Roman" w:cs="Times New Roman"/>
          <w:sz w:val="28"/>
          <w:szCs w:val="28"/>
        </w:rPr>
        <w:t xml:space="preserve">продавців і покупців. </w:t>
      </w:r>
    </w:p>
    <w:p w:rsidR="005C3A87" w:rsidRDefault="005C3A87">
      <w:pPr>
        <w:ind w:firstLine="567"/>
        <w:jc w:val="center"/>
        <w:rPr>
          <w:rFonts w:ascii="Book Antiqua" w:hAnsi="Book Antiqua" w:cs="Book Antiqua"/>
          <w:b/>
          <w:bCs/>
          <w:sz w:val="28"/>
          <w:szCs w:val="28"/>
        </w:rPr>
      </w:pPr>
    </w:p>
    <w:p w:rsidR="005C3A87" w:rsidRDefault="005C3A87">
      <w:pPr>
        <w:jc w:val="center"/>
        <w:rPr>
          <w:rFonts w:ascii="Book Antiqua" w:hAnsi="Book Antiqua" w:cs="Book Antiqua"/>
          <w:b/>
          <w:bCs/>
          <w:sz w:val="32"/>
          <w:szCs w:val="32"/>
        </w:rPr>
      </w:pPr>
      <w:r>
        <w:rPr>
          <w:rFonts w:ascii="Book Antiqua" w:hAnsi="Book Antiqua" w:cs="Book Antiqua"/>
          <w:b/>
          <w:bCs/>
          <w:sz w:val="32"/>
          <w:szCs w:val="32"/>
        </w:rPr>
        <w:t>2.1. Аналіз попиту</w:t>
      </w:r>
    </w:p>
    <w:p w:rsidR="005C3A87" w:rsidRDefault="00A826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ru-RU"/>
        </w:rPr>
        <w:pict>
          <v:group id="_x0000_s1026" style="position:absolute;left:0;text-align:left;margin-left:3.9pt;margin-top:65.05pt;width:223.9pt;height:175.55pt;z-index:251661312" coordorigin="913,11422" coordsize="4478,351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941;top:11422;width:4403;height:2982">
              <v:imagedata r:id="rId5" o:title="Rozd 2-1New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913;top:14500;width:4478;height:433" filled="f" stroked="f">
              <v:textbox style="mso-next-textbox:#_x0000_s1028">
                <w:txbxContent>
                  <w:p w:rsidR="005C3A87" w:rsidRDefault="005C3A87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2"/>
                        <w:szCs w:val="22"/>
                      </w:rPr>
                      <w:t xml:space="preserve">Рис. 2.1.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  <w:t>Попит на яблука за день</w:t>
                    </w:r>
                  </w:p>
                </w:txbxContent>
              </v:textbox>
            </v:shape>
            <w10:wrap type="square"/>
          </v:group>
        </w:pict>
      </w:r>
      <w:r w:rsidR="005C3A87">
        <w:rPr>
          <w:rFonts w:ascii="Times New Roman" w:hAnsi="Times New Roman" w:cs="Times New Roman"/>
          <w:sz w:val="28"/>
          <w:szCs w:val="28"/>
        </w:rPr>
        <w:t xml:space="preserve">Покупці, які мають потребу у певних товарах, виходять на ринок і пред’являють попит.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Попит</w:t>
      </w:r>
      <w:r w:rsidR="005C3A87">
        <w:rPr>
          <w:sz w:val="28"/>
          <w:szCs w:val="28"/>
        </w:rPr>
        <w:t xml:space="preserve"> – </w:t>
      </w:r>
      <w:r w:rsidR="005C3A87">
        <w:rPr>
          <w:rFonts w:ascii="Times New Roman" w:hAnsi="Times New Roman" w:cs="Times New Roman"/>
          <w:sz w:val="28"/>
          <w:szCs w:val="28"/>
        </w:rPr>
        <w:t>це форма вираження потреб, представлених на ринку і забез</w:t>
      </w:r>
      <w:r w:rsidR="005C3A87">
        <w:rPr>
          <w:rFonts w:ascii="Times New Roman" w:hAnsi="Times New Roman" w:cs="Times New Roman"/>
          <w:sz w:val="28"/>
          <w:szCs w:val="28"/>
        </w:rPr>
        <w:softHyphen/>
        <w:t xml:space="preserve">печених грошовими засобами. Розрізняють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індивідуальний попит</w:t>
      </w:r>
      <w:r w:rsidR="005C3A87">
        <w:rPr>
          <w:rFonts w:ascii="Times New Roman" w:hAnsi="Times New Roman" w:cs="Times New Roman"/>
          <w:sz w:val="28"/>
          <w:szCs w:val="28"/>
        </w:rPr>
        <w:t xml:space="preserve"> – попит окремого споживача та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ринковий попит</w:t>
      </w:r>
      <w:r w:rsidR="005C3A87">
        <w:rPr>
          <w:rFonts w:ascii="Times New Roman" w:hAnsi="Times New Roman" w:cs="Times New Roman"/>
          <w:sz w:val="28"/>
          <w:szCs w:val="28"/>
        </w:rPr>
        <w:t>, який складається з суми індивіду</w:t>
      </w:r>
      <w:r w:rsidR="005C3A87">
        <w:rPr>
          <w:rFonts w:ascii="Times New Roman" w:hAnsi="Times New Roman" w:cs="Times New Roman"/>
          <w:sz w:val="28"/>
          <w:szCs w:val="28"/>
        </w:rPr>
        <w:softHyphen/>
        <w:t>альних попитів.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 xml:space="preserve">Попит </w:t>
      </w:r>
      <w:r>
        <w:rPr>
          <w:rFonts w:ascii="Times New Roman" w:hAnsi="Times New Roman" w:cs="Times New Roman"/>
          <w:sz w:val="28"/>
          <w:szCs w:val="28"/>
        </w:rPr>
        <w:t>– це множина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співвідношень цін і відповідних кількостей товару. </w:t>
      </w:r>
      <w:r>
        <w:rPr>
          <w:rFonts w:ascii="Times New Roman" w:hAnsi="Times New Roman" w:cs="Times New Roman"/>
          <w:sz w:val="28"/>
          <w:szCs w:val="28"/>
        </w:rPr>
        <w:t xml:space="preserve">Попит, як взаємозв’язок ціни і кількості, можна зобразити графічно у вигляді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кривої попиту</w:t>
      </w:r>
      <w:r>
        <w:rPr>
          <w:rFonts w:ascii="Times New Roman" w:hAnsi="Times New Roman" w:cs="Times New Roman"/>
          <w:sz w:val="28"/>
          <w:szCs w:val="28"/>
        </w:rPr>
        <w:t xml:space="preserve"> (рис.2.1). </w:t>
      </w:r>
    </w:p>
    <w:p w:rsidR="005C3A87" w:rsidRDefault="005C3A87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Конкретну кількість товару</w:t>
      </w:r>
      <w:r>
        <w:rPr>
          <w:rFonts w:ascii="Times New Roman" w:hAnsi="Times New Roman" w:cs="Times New Roman"/>
          <w:sz w:val="28"/>
          <w:szCs w:val="28"/>
        </w:rPr>
        <w:t xml:space="preserve">, яку покупці бажають і можуть придбати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 кожного рівня ціни</w:t>
      </w:r>
      <w:r>
        <w:rPr>
          <w:rFonts w:ascii="Times New Roman" w:hAnsi="Times New Roman" w:cs="Times New Roman"/>
          <w:sz w:val="28"/>
          <w:szCs w:val="28"/>
        </w:rPr>
        <w:t xml:space="preserve">, називають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обсягом попиту</w:t>
      </w:r>
      <w:r>
        <w:rPr>
          <w:rFonts w:ascii="Book Antiqua" w:hAnsi="Book Antiqua" w:cs="Book Antiqua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Його можна визначити за графіком як параметр точки на кривій попиту: наприклад, обсяг попиту на яблука за ціною 4 гривні за кг становить 20 кг на день.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Закон попиту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твердить, що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між ціною і обсягом попиту існує обер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softHyphen/>
        <w:t>нений зв’язок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обсяг попиту скорочується зі зростанням ціни і зростає зі зниженням ціни.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Математичним виразом закону попиту є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 xml:space="preserve">функція попиту: </w:t>
      </w:r>
      <w:r>
        <w:rPr>
          <w:rFonts w:ascii="Times New Roman" w:hAnsi="Times New Roman" w:cs="Times New Roman"/>
          <w:i/>
          <w:iCs/>
          <w:sz w:val="32"/>
          <w:szCs w:val="32"/>
          <w:lang w:val="ru-RU"/>
        </w:rPr>
        <w:t xml:space="preserve"> 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Q</w:t>
      </w:r>
      <w:r>
        <w:rPr>
          <w:rFonts w:ascii="Times New Roman" w:hAnsi="Times New Roman" w:cs="Times New Roman"/>
          <w:i/>
          <w:iCs/>
          <w:sz w:val="32"/>
          <w:szCs w:val="32"/>
          <w:vertAlign w:val="subscript"/>
          <w:lang w:val="en-US"/>
        </w:rPr>
        <w:t>D</w:t>
      </w:r>
      <w:r>
        <w:rPr>
          <w:rFonts w:ascii="Times New Roman" w:hAnsi="Times New Roman" w:cs="Times New Roman"/>
          <w:i/>
          <w:iCs/>
          <w:sz w:val="32"/>
          <w:szCs w:val="32"/>
        </w:rPr>
        <w:t>=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f</w:t>
      </w:r>
      <w:r>
        <w:rPr>
          <w:rFonts w:ascii="Times New Roman" w:hAnsi="Times New Roman" w:cs="Times New Roman"/>
          <w:i/>
          <w:iCs/>
          <w:sz w:val="32"/>
          <w:szCs w:val="32"/>
        </w:rPr>
        <w:t>(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P</w:t>
      </w:r>
      <w:r>
        <w:rPr>
          <w:rFonts w:ascii="Times New Roman" w:hAnsi="Times New Roman" w:cs="Times New Roman"/>
          <w:i/>
          <w:iCs/>
          <w:sz w:val="32"/>
          <w:szCs w:val="32"/>
        </w:rPr>
        <w:t>),</w:t>
      </w:r>
      <w: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3A87" w:rsidRDefault="005C3A87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    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– обсяг попиту на товар,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 xml:space="preserve">попит,  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>– ціна товару.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Лінійна функція попиту описується  рівнянням:    </w:t>
      </w:r>
      <w:r>
        <w:rPr>
          <w:rFonts w:ascii="Times New Roman" w:hAnsi="Times New Roman" w:cs="Times New Roman"/>
          <w:i/>
          <w:iCs/>
          <w:sz w:val="28"/>
          <w:szCs w:val="28"/>
        </w:rPr>
        <w:t>Q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 w:cs="Times New Roman"/>
          <w:i/>
          <w:iCs/>
          <w:sz w:val="28"/>
          <w:szCs w:val="28"/>
        </w:rPr>
        <w:t>=a–b·P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3A87" w:rsidRDefault="005C3A8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Ціна</w:t>
      </w:r>
      <w:r>
        <w:rPr>
          <w:rFonts w:ascii="Times New Roman" w:hAnsi="Times New Roman" w:cs="Times New Roman"/>
          <w:sz w:val="28"/>
          <w:szCs w:val="28"/>
        </w:rPr>
        <w:t xml:space="preserve"> є основною детермінантою попиту, зміна якої 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спричиняє зміни в обсязі попиту,</w:t>
      </w:r>
      <w:r>
        <w:rPr>
          <w:rFonts w:ascii="Times New Roman" w:hAnsi="Times New Roman" w:cs="Times New Roman"/>
          <w:sz w:val="28"/>
          <w:szCs w:val="28"/>
        </w:rPr>
        <w:t xml:space="preserve"> що графічно відповідає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руху між точками на  даній кривій попиту</w:t>
      </w:r>
      <w:r>
        <w:rPr>
          <w:rFonts w:ascii="Times New Roman" w:hAnsi="Times New Roman" w:cs="Times New Roman"/>
          <w:sz w:val="28"/>
          <w:szCs w:val="28"/>
        </w:rPr>
        <w:t xml:space="preserve"> (рис. 2.2).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Нецінові детермінанти</w:t>
      </w:r>
      <w:r>
        <w:rPr>
          <w:rFonts w:ascii="Times New Roman" w:hAnsi="Times New Roman" w:cs="Times New Roman"/>
          <w:sz w:val="28"/>
          <w:szCs w:val="28"/>
        </w:rPr>
        <w:t xml:space="preserve"> попиту спричиняють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зміни у попиті</w:t>
      </w:r>
      <w:r>
        <w:rPr>
          <w:rFonts w:ascii="Times New Roman" w:hAnsi="Times New Roman" w:cs="Times New Roman"/>
          <w:sz w:val="28"/>
          <w:szCs w:val="28"/>
        </w:rPr>
        <w:t xml:space="preserve">, що графічно відповідає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зміщенню всієї кривої попиту</w:t>
      </w:r>
      <w:r>
        <w:rPr>
          <w:rFonts w:ascii="Times New Roman" w:hAnsi="Times New Roman" w:cs="Times New Roman"/>
          <w:sz w:val="28"/>
          <w:szCs w:val="28"/>
        </w:rPr>
        <w:t xml:space="preserve">: праворуч-вгору, якщо попит зростає, і ліворуч-вниз, якщо попит скорочується (рис. 2.3). Нецінові детермінанти являють собою основні мотиви споживчого попиту.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До нецінових детермінант попиту</w:t>
      </w:r>
      <w:r>
        <w:rPr>
          <w:rFonts w:ascii="Bookman Old Style" w:hAnsi="Bookman Old Style" w:cs="Bookman Old Style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відносяться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смаки і уподобання споживачів; доходи споживачів; ціни сполучених товарів; кількість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споживачів на ринку; очікування споживачів відносно майбут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softHyphen/>
        <w:t>ніх цін.</w:t>
      </w:r>
    </w:p>
    <w:p w:rsidR="005C3A87" w:rsidRDefault="00A82676">
      <w:pPr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noProof/>
          <w:lang w:val="ru-RU"/>
        </w:rPr>
        <w:pict>
          <v:group id="_x0000_s1029" style="position:absolute;left:0;text-align:left;margin-left:-.05pt;margin-top:51.05pt;width:385.15pt;height:194.2pt;z-index:251654144;mso-position-vertical-relative:page" coordorigin="851,2401" coordsize="6560,3074">
            <v:shape id="_x0000_s1030" type="#_x0000_t75" style="position:absolute;left:1089;top:2425;width:2928;height:2701;mso-wrap-edited:f" wrapcoords="-111 0 -111 21480 21600 21480 21600 0 -111 0" o:allowoverlap="f">
              <v:imagedata r:id="rId6" o:title="Rozd 2-2"/>
            </v:shape>
            <v:group id="_x0000_s1031" style="position:absolute;left:851;top:2401;width:6560;height:3074;mso-position-horizontal:left" coordorigin="993,1342" coordsize="6560,3074">
              <v:shape id="_x0000_s1032" type="#_x0000_t75" style="position:absolute;left:4566;top:1342;width:2987;height:2701">
                <v:imagedata r:id="rId7" o:title="Rozd 2-3"/>
              </v:shape>
              <v:shape id="_x0000_s1033" type="#_x0000_t202" style="position:absolute;left:993;top:3845;width:6425;height:571;mso-wrap-edited:f" wrapcoords="0 0 21600 0 21600 21600 0 21600 0 0" filled="f" stroked="f">
                <v:textbox style="mso-next-textbox:#_x0000_s1033">
                  <w:txbxContent>
                    <w:tbl>
                      <w:tblPr>
                        <w:tblW w:w="7513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3261"/>
                        <w:gridCol w:w="4252"/>
                      </w:tblGrid>
                      <w:tr w:rsidR="005C3A87" w:rsidRPr="005C3A87">
                        <w:trPr>
                          <w:trHeight w:val="567"/>
                        </w:trPr>
                        <w:tc>
                          <w:tcPr>
                            <w:tcW w:w="326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C3A87" w:rsidRPr="005C3A87" w:rsidRDefault="005C3A87">
                            <w:pPr>
                              <w:ind w:left="885" w:hanging="885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C3A8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Рис.2.2 </w:t>
                            </w:r>
                            <w:r w:rsidRPr="005C3A87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Зміни обсягу попиту при  зміні ціни</w:t>
                            </w:r>
                          </w:p>
                        </w:tc>
                        <w:tc>
                          <w:tcPr>
                            <w:tcW w:w="425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5C3A87" w:rsidRPr="005C3A87" w:rsidRDefault="005C3A87">
                            <w:pPr>
                              <w:pStyle w:val="3"/>
                              <w:spacing w:line="24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5C3A87">
                              <w:rPr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Рис.2.3.</w:t>
                            </w:r>
                            <w:r w:rsidRPr="005C3A87">
                              <w:rPr>
                                <w:sz w:val="22"/>
                                <w:szCs w:val="22"/>
                              </w:rPr>
                              <w:t xml:space="preserve"> Вплив нецінових </w:t>
                            </w:r>
                          </w:p>
                          <w:p w:rsidR="005C3A87" w:rsidRPr="005C3A87" w:rsidRDefault="005C3A87">
                            <w:pPr>
                              <w:pStyle w:val="3"/>
                              <w:spacing w:line="24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5C3A87">
                              <w:rPr>
                                <w:sz w:val="22"/>
                                <w:szCs w:val="22"/>
                              </w:rPr>
                              <w:t>детермінант. Зміни</w:t>
                            </w:r>
                            <w:r w:rsidRPr="005C3A87">
                              <w:rPr>
                                <w:sz w:val="22"/>
                                <w:szCs w:val="22"/>
                                <w:lang w:val="ru-RU"/>
                              </w:rPr>
                              <w:t xml:space="preserve"> </w:t>
                            </w:r>
                            <w:r w:rsidRPr="005C3A87">
                              <w:rPr>
                                <w:sz w:val="22"/>
                                <w:szCs w:val="22"/>
                              </w:rPr>
                              <w:t>у попиті</w:t>
                            </w:r>
                          </w:p>
                        </w:tc>
                      </w:tr>
                    </w:tbl>
                    <w:p w:rsidR="005C3A87" w:rsidRDefault="005C3A87"/>
                  </w:txbxContent>
                </v:textbox>
              </v:shape>
            </v:group>
            <w10:wrap type="square" anchory="page"/>
          </v:group>
        </w:pict>
      </w:r>
      <w:r w:rsidR="005C3A87">
        <w:rPr>
          <w:rFonts w:ascii="Book Antiqua" w:hAnsi="Book Antiqua" w:cs="Book Antiqua"/>
          <w:b/>
          <w:bCs/>
          <w:i/>
          <w:iCs/>
          <w:spacing w:val="-6"/>
          <w:sz w:val="28"/>
          <w:szCs w:val="28"/>
        </w:rPr>
        <w:t>Смаки і уподобання споживачів</w:t>
      </w:r>
      <w:r w:rsidR="005C3A87">
        <w:rPr>
          <w:spacing w:val="-6"/>
          <w:sz w:val="28"/>
          <w:szCs w:val="28"/>
        </w:rPr>
        <w:t xml:space="preserve"> </w:t>
      </w:r>
      <w:r w:rsidR="005C3A87">
        <w:rPr>
          <w:rFonts w:ascii="Times New Roman" w:hAnsi="Times New Roman" w:cs="Times New Roman"/>
          <w:spacing w:val="-6"/>
          <w:sz w:val="28"/>
          <w:szCs w:val="28"/>
        </w:rPr>
        <w:t>визначаються звичаями, рекламою, модою, освітою і здатні змінювати попит в</w:t>
      </w:r>
      <w:r w:rsidR="005C3A87">
        <w:rPr>
          <w:rFonts w:ascii="Times New Roman" w:hAnsi="Times New Roman" w:cs="Times New Roman"/>
          <w:smallCaps/>
          <w:spacing w:val="-6"/>
          <w:sz w:val="28"/>
          <w:szCs w:val="28"/>
        </w:rPr>
        <w:t xml:space="preserve"> </w:t>
      </w:r>
      <w:r w:rsidR="005C3A87">
        <w:rPr>
          <w:rFonts w:ascii="Times New Roman" w:hAnsi="Times New Roman" w:cs="Times New Roman"/>
          <w:spacing w:val="-6"/>
          <w:sz w:val="28"/>
          <w:szCs w:val="28"/>
        </w:rPr>
        <w:t>обох напрямках за незмінної ціни та інших рів</w:t>
      </w:r>
      <w:r w:rsidR="005C3A87">
        <w:rPr>
          <w:rFonts w:ascii="Times New Roman" w:hAnsi="Times New Roman" w:cs="Times New Roman"/>
          <w:spacing w:val="-6"/>
          <w:sz w:val="28"/>
          <w:szCs w:val="28"/>
        </w:rPr>
        <w:softHyphen/>
        <w:t xml:space="preserve">них умов. 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Доходи споживачів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чинять неоднозначний вплив па попит. Відповід</w:t>
      </w:r>
      <w:r>
        <w:rPr>
          <w:rFonts w:ascii="Times New Roman" w:hAnsi="Times New Roman" w:cs="Times New Roman"/>
          <w:sz w:val="28"/>
          <w:szCs w:val="28"/>
        </w:rPr>
        <w:softHyphen/>
        <w:t>но до динаміки попиту в залежності від динаміки доходів розрізняють:</w:t>
      </w:r>
    </w:p>
    <w:p w:rsidR="005C3A87" w:rsidRDefault="005C3A87">
      <w:pPr>
        <w:numPr>
          <w:ilvl w:val="0"/>
          <w:numId w:val="2"/>
        </w:numPr>
        <w:tabs>
          <w:tab w:val="clear" w:pos="1855"/>
          <w:tab w:val="num" w:pos="0"/>
        </w:tabs>
        <w:ind w:left="0"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pacing w:val="-6"/>
          <w:sz w:val="28"/>
          <w:szCs w:val="28"/>
        </w:rPr>
        <w:t xml:space="preserve">нормальні товари </w:t>
      </w:r>
      <w:r>
        <w:rPr>
          <w:rFonts w:ascii="Times New Roman" w:hAnsi="Times New Roman" w:cs="Times New Roman"/>
          <w:spacing w:val="-6"/>
          <w:sz w:val="28"/>
          <w:szCs w:val="28"/>
        </w:rPr>
        <w:t xml:space="preserve">– це товари, попит на які зростає зі зростанням доходів споживачів, крива попиту зміщується праворуч. Абсолютна більшість товарів є нормальними; </w:t>
      </w:r>
    </w:p>
    <w:p w:rsidR="005C3A87" w:rsidRDefault="005C3A87">
      <w:pPr>
        <w:numPr>
          <w:ilvl w:val="0"/>
          <w:numId w:val="2"/>
        </w:numPr>
        <w:tabs>
          <w:tab w:val="clear" w:pos="1855"/>
          <w:tab w:val="num" w:pos="0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нижчі товари 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це товари, попит на які скорочується зі зростанням доходу, а крива попиту зміщується ліворуч. До таких товарів можна віднести немодне вбрання, висококалорійні, з низьким вмістом вітамінів продукти, а також товари низької якості. 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Ціни сполучених товарів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чинять взаємний вплив щодо попиту залежно від виду цих товарів. Розрізняють два види сполучених товарів: </w:t>
      </w:r>
    </w:p>
    <w:p w:rsidR="005C3A87" w:rsidRDefault="005C3A87">
      <w:pPr>
        <w:numPr>
          <w:ilvl w:val="0"/>
          <w:numId w:val="1"/>
        </w:numPr>
        <w:tabs>
          <w:tab w:val="clear" w:pos="1855"/>
          <w:tab w:val="num" w:pos="0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товари-субститути </w:t>
      </w:r>
      <w:r>
        <w:rPr>
          <w:rFonts w:ascii="Times New Roman" w:hAnsi="Times New Roman" w:cs="Times New Roman"/>
          <w:sz w:val="28"/>
          <w:szCs w:val="28"/>
        </w:rPr>
        <w:t xml:space="preserve">або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взаємозамінні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товари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це пари товарів, для яких зростання ціни одного викликає зростання попиту на інший товар, і навпаки. Наприклад, м’ясо і риба: з підвищенням ціни м’яса попит на рибу зросте незалежно від її ціни, що графічно відповідатиме зміщенню кривої попиту на рибу праворуч;</w:t>
      </w:r>
    </w:p>
    <w:p w:rsidR="005C3A87" w:rsidRDefault="005C3A87">
      <w:pPr>
        <w:numPr>
          <w:ilvl w:val="0"/>
          <w:numId w:val="1"/>
        </w:numPr>
        <w:tabs>
          <w:tab w:val="clear" w:pos="1855"/>
          <w:tab w:val="num" w:pos="0"/>
        </w:tabs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товари-комплементи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або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взаємодоповнюючі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товари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це пари товарів, для яких зростання ціни одного призводить до зменшення попиту на інший товар, і навпаки. Ці товари споживаються одночасно, наприклад, бензин і шини або інші запасні частини до автомобіля. З підвищенням ціни бензину попит на шини скоротиться, оскільки власники автомобілів будуть їздити менше. Графічно скороченню попиту на шини внаслідок підвищення ціни бензину відповідає зміщення кривої попиту ліворуч.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Кількість споживачів на ринку</w:t>
      </w:r>
      <w:r>
        <w:rPr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зі збільшенням числа покупців попит зростає, крива попиту зміщується праворуч, зі зменшенням – ліворуч за інших рівних умов.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Очікування споживачів.</w:t>
      </w:r>
      <w:r>
        <w:rPr>
          <w:rFonts w:ascii="Times New Roman" w:hAnsi="Times New Roman" w:cs="Times New Roman"/>
          <w:sz w:val="28"/>
          <w:szCs w:val="28"/>
        </w:rPr>
        <w:t xml:space="preserve"> Очікування зміни цін є фактором попиту, який набуває особливої актуальності в умовах інфляції. Очікування підвищення цін у майбутньому спричиняють зростання попиту у поточному періоді за інших рівних умов, крива попиту зміщується праворуч, і навпаки –  </w:t>
      </w:r>
      <w:r>
        <w:rPr>
          <w:rFonts w:ascii="Times New Roman" w:hAnsi="Times New Roman" w:cs="Times New Roman"/>
          <w:sz w:val="28"/>
          <w:szCs w:val="28"/>
        </w:rPr>
        <w:lastRenderedPageBreak/>
        <w:t>за умови очікування майбутнього зниження цін. Аналогічною є реакція споживачів в очікуванні підвищення або зниження доходу.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врахуванням нецінових детермінант попиту функція попиту може бути представлена формулою:    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Q</w:t>
      </w:r>
      <w:r>
        <w:rPr>
          <w:rFonts w:ascii="Times New Roman" w:hAnsi="Times New Roman" w:cs="Times New Roman"/>
          <w:i/>
          <w:iCs/>
          <w:sz w:val="32"/>
          <w:szCs w:val="32"/>
          <w:vertAlign w:val="subscript"/>
          <w:lang w:val="en-US"/>
        </w:rPr>
        <w:t>D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 = 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f</w:t>
      </w:r>
      <w:r>
        <w:rPr>
          <w:rFonts w:ascii="Times New Roman" w:hAnsi="Times New Roman" w:cs="Times New Roman"/>
          <w:i/>
          <w:iCs/>
          <w:sz w:val="32"/>
          <w:szCs w:val="32"/>
        </w:rPr>
        <w:t>(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P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, 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N</w:t>
      </w:r>
      <w:r>
        <w:rPr>
          <w:rFonts w:ascii="Times New Roman" w:hAnsi="Times New Roman" w:cs="Times New Roman"/>
          <w:i/>
          <w:iCs/>
          <w:sz w:val="32"/>
          <w:szCs w:val="32"/>
          <w:vertAlign w:val="subscript"/>
          <w:lang w:val="en-US"/>
        </w:rPr>
        <w:t>D</w:t>
      </w:r>
      <w:r>
        <w:rPr>
          <w:rFonts w:ascii="Times New Roman" w:hAnsi="Times New Roman" w:cs="Times New Roman"/>
          <w:i/>
          <w:iCs/>
          <w:sz w:val="32"/>
          <w:szCs w:val="32"/>
        </w:rPr>
        <w:t>)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де    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 нецінові детермінанти попиту.</w:t>
      </w:r>
    </w:p>
    <w:p w:rsidR="005C3A87" w:rsidRDefault="005C3A87">
      <w:pPr>
        <w:ind w:firstLine="567"/>
        <w:jc w:val="center"/>
        <w:rPr>
          <w:rFonts w:ascii="Bookman Old Style" w:hAnsi="Bookman Old Style" w:cs="Bookman Old Style"/>
          <w:b/>
          <w:bCs/>
          <w:sz w:val="28"/>
          <w:szCs w:val="28"/>
        </w:rPr>
      </w:pPr>
    </w:p>
    <w:p w:rsidR="005C3A87" w:rsidRDefault="005C3A87">
      <w:pPr>
        <w:ind w:firstLine="567"/>
        <w:jc w:val="center"/>
        <w:rPr>
          <w:rFonts w:ascii="Book Antiqua" w:hAnsi="Book Antiqua" w:cs="Book Antiqua"/>
          <w:b/>
          <w:bCs/>
          <w:sz w:val="32"/>
          <w:szCs w:val="32"/>
        </w:rPr>
      </w:pPr>
      <w:r>
        <w:rPr>
          <w:rFonts w:ascii="Book Antiqua" w:hAnsi="Book Antiqua" w:cs="Book Antiqua"/>
          <w:b/>
          <w:bCs/>
          <w:sz w:val="32"/>
          <w:szCs w:val="32"/>
        </w:rPr>
        <w:t>2.2. Аналіз пропонування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Пропонування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це кількість товарів, яка перебуває на ринку або може бути доставлена на ринок; визначається виробництвом, але не тотожне йому. Розрізняють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індивідуальне пропонування</w:t>
      </w:r>
      <w:r>
        <w:rPr>
          <w:rFonts w:ascii="Times New Roman" w:hAnsi="Times New Roman" w:cs="Times New Roman"/>
          <w:sz w:val="28"/>
          <w:szCs w:val="28"/>
        </w:rPr>
        <w:t>, або пропону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вання окремої фірми, та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ринкове пропонування</w:t>
      </w:r>
      <w:r>
        <w:rPr>
          <w:rFonts w:ascii="Times New Roman" w:hAnsi="Times New Roman" w:cs="Times New Roman"/>
          <w:sz w:val="28"/>
          <w:szCs w:val="28"/>
        </w:rPr>
        <w:t xml:space="preserve">, яке складається з суми обсягів індивідуального пропонування. На рішення фірм щодо пропонування, як і на рішення споживачів відносно покупок, в першу чергу впливає ціна. Ціна є основним індикатором, який показує, скільки і якої продукції виробляти.  </w:t>
      </w:r>
    </w:p>
    <w:p w:rsidR="005C3A87" w:rsidRDefault="005C3A87">
      <w:pPr>
        <w:ind w:firstLine="567"/>
        <w:jc w:val="both"/>
        <w:rPr>
          <w:rFonts w:ascii="Book Antiqua" w:hAnsi="Book Antiqua" w:cs="Book Antiqua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Пропонування</w:t>
      </w:r>
      <w:r>
        <w:rPr>
          <w:rFonts w:ascii="Book Antiqua" w:hAnsi="Book Antiqua" w:cs="Book Antiqua"/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це множина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співвідношень цін і відповідних кількостей товару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Конкретна кількість</w:t>
      </w:r>
      <w:r>
        <w:rPr>
          <w:rFonts w:ascii="Times New Roman" w:hAnsi="Times New Roman" w:cs="Times New Roman"/>
          <w:sz w:val="28"/>
          <w:szCs w:val="28"/>
        </w:rPr>
        <w:t xml:space="preserve"> товару,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яку продавці бажають та можуть продати на ринку за деякий період часу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 певного значення ціни</w:t>
      </w:r>
      <w:r>
        <w:rPr>
          <w:rFonts w:ascii="Times New Roman" w:hAnsi="Times New Roman" w:cs="Times New Roman"/>
          <w:sz w:val="28"/>
          <w:szCs w:val="28"/>
        </w:rPr>
        <w:t xml:space="preserve"> називається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обсягом пропонування.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Закон пропонування</w:t>
      </w:r>
      <w:r>
        <w:rPr>
          <w:rFonts w:ascii="Bookman Old Style" w:hAnsi="Bookman Old Style" w:cs="Bookman Old Style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твердить, що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між ціною та обсягом пропонуван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softHyphen/>
        <w:t>ня існує прямий зв’язок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обсяг пропонування зростає з підвищенням ціни і скорочується зі зниженням ціни.  Математичним виразом закону пропонування є</w:t>
      </w:r>
      <w:r>
        <w:rPr>
          <w:sz w:val="28"/>
          <w:szCs w:val="28"/>
        </w:rPr>
        <w:t xml:space="preserve">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функція</w:t>
      </w:r>
      <w:r>
        <w:rPr>
          <w:rFonts w:ascii="Book Antiqua" w:hAnsi="Book Antiqua" w:cs="Book Antiqua"/>
          <w:b/>
          <w:bCs/>
          <w:i/>
          <w:iCs/>
          <w:smallCaps/>
          <w:sz w:val="28"/>
          <w:szCs w:val="28"/>
        </w:rPr>
        <w:t xml:space="preserve">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 xml:space="preserve">пропонування:      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Q</w:t>
      </w:r>
      <w:r>
        <w:rPr>
          <w:rFonts w:ascii="Times New Roman" w:hAnsi="Times New Roman" w:cs="Times New Roman"/>
          <w:i/>
          <w:iCs/>
          <w:sz w:val="32"/>
          <w:szCs w:val="32"/>
          <w:vertAlign w:val="subscript"/>
          <w:lang w:val="en-US"/>
        </w:rPr>
        <w:t>S</w:t>
      </w:r>
      <w:r>
        <w:rPr>
          <w:rFonts w:ascii="Times New Roman" w:hAnsi="Times New Roman" w:cs="Times New Roman"/>
          <w:i/>
          <w:iCs/>
          <w:sz w:val="32"/>
          <w:szCs w:val="32"/>
          <w:lang w:val="ru-RU"/>
        </w:rPr>
        <w:t>=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f</w:t>
      </w:r>
      <w:r>
        <w:rPr>
          <w:rFonts w:ascii="Times New Roman" w:hAnsi="Times New Roman" w:cs="Times New Roman"/>
          <w:i/>
          <w:iCs/>
          <w:sz w:val="32"/>
          <w:szCs w:val="32"/>
          <w:lang w:val="ru-RU"/>
        </w:rPr>
        <w:t>(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P</w:t>
      </w:r>
      <w:r>
        <w:rPr>
          <w:rFonts w:ascii="Times New Roman" w:hAnsi="Times New Roman" w:cs="Times New Roman"/>
          <w:i/>
          <w:iCs/>
          <w:sz w:val="32"/>
          <w:szCs w:val="32"/>
          <w:lang w:val="ru-RU"/>
        </w:rPr>
        <w:t>),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де      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обсяг пропонування товару,           </w:t>
      </w:r>
      <w:r>
        <w:rPr>
          <w:rFonts w:ascii="Times New Roman" w:hAnsi="Times New Roman" w:cs="Times New Roman"/>
          <w:position w:val="-6"/>
          <w:sz w:val="28"/>
          <w:szCs w:val="28"/>
        </w:rPr>
        <w:object w:dxaOrig="220" w:dyaOrig="279">
          <v:shape id="_x0000_i1025" type="#_x0000_t75" style="width:11.25pt;height:14.25pt" o:ole="" fillcolor="window">
            <v:imagedata r:id="rId8" o:title=""/>
          </v:shape>
          <o:OLEObject Type="Embed" ProgID="Equation.3" ShapeID="_x0000_i1025" DrawAspect="Content" ObjectID="_1458054418" r:id="rId9"/>
        </w:object>
      </w:r>
      <w:r>
        <w:rPr>
          <w:rFonts w:ascii="Times New Roman" w:hAnsi="Times New Roman" w:cs="Times New Roman"/>
          <w:sz w:val="28"/>
          <w:szCs w:val="28"/>
        </w:rPr>
        <w:t>- пропонування.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Лінійна функція пропонування може бути описана рівнянням:  </w:t>
      </w:r>
      <w:r>
        <w:rPr>
          <w:rFonts w:ascii="Times New Roman" w:hAnsi="Times New Roman" w:cs="Times New Roman"/>
          <w:i/>
          <w:iCs/>
          <w:sz w:val="28"/>
          <w:szCs w:val="28"/>
        </w:rPr>
        <w:t>Q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S</w:t>
      </w:r>
      <w:r>
        <w:rPr>
          <w:rFonts w:ascii="Times New Roman" w:hAnsi="Times New Roman" w:cs="Times New Roman"/>
          <w:i/>
          <w:iCs/>
          <w:sz w:val="28"/>
          <w:szCs w:val="28"/>
        </w:rPr>
        <w:t>=</w:t>
      </w:r>
      <w:r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– </w:t>
      </w:r>
      <w:r>
        <w:rPr>
          <w:rFonts w:ascii="Times New Roman" w:hAnsi="Times New Roman" w:cs="Times New Roman"/>
          <w:i/>
          <w:iCs/>
          <w:sz w:val="28"/>
          <w:szCs w:val="28"/>
        </w:rPr>
        <w:t>c+d·P.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</w:p>
    <w:p w:rsidR="005C3A87" w:rsidRDefault="00A82676">
      <w:pPr>
        <w:tabs>
          <w:tab w:val="num" w:pos="720"/>
        </w:tabs>
        <w:ind w:firstLine="567"/>
        <w:jc w:val="both"/>
        <w:rPr>
          <w:spacing w:val="-4"/>
          <w:sz w:val="28"/>
          <w:szCs w:val="28"/>
        </w:rPr>
      </w:pPr>
      <w:r>
        <w:rPr>
          <w:noProof/>
          <w:lang w:val="ru-RU"/>
        </w:rPr>
        <w:pict>
          <v:group id="_x0000_s1034" style="position:absolute;left:0;text-align:left;margin-left:-2.95pt;margin-top:28.65pt;width:360.7pt;height:180.4pt;z-index:251655168" coordorigin="1144,4951" coordsize="6105,3046">
            <v:shape id="_x0000_s1035" type="#_x0000_t75" style="position:absolute;left:1144;top:4951;width:6105;height:2535">
              <v:imagedata r:id="rId10" o:title="Rozd 2-5"/>
            </v:shape>
            <v:shape id="_x0000_s1036" type="#_x0000_t202" style="position:absolute;left:1203;top:7390;width:5986;height:607;mso-position-horizontal:center" filled="f" stroked="f">
              <v:textbox>
                <w:txbxContent>
                  <w:tbl>
                    <w:tblPr>
                      <w:tblW w:w="6946" w:type="dxa"/>
                      <w:tblInd w:w="-142" w:type="dxa"/>
                      <w:tblLayout w:type="fixed"/>
                      <w:tblLook w:val="0000" w:firstRow="0" w:lastRow="0" w:firstColumn="0" w:lastColumn="0" w:noHBand="0" w:noVBand="0"/>
                    </w:tblPr>
                    <w:tblGrid>
                      <w:gridCol w:w="3261"/>
                      <w:gridCol w:w="3685"/>
                    </w:tblGrid>
                    <w:tr w:rsidR="005C3A87" w:rsidRPr="005C3A87">
                      <w:trPr>
                        <w:trHeight w:val="568"/>
                      </w:trPr>
                      <w:tc>
                        <w:tcPr>
                          <w:tcW w:w="3261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:rsidR="005C3A87" w:rsidRPr="005C3A87" w:rsidRDefault="005C3A87">
                          <w:pPr>
                            <w:pStyle w:val="4"/>
                            <w:rPr>
                              <w:i w:val="0"/>
                              <w:iCs w:val="0"/>
                              <w:sz w:val="22"/>
                              <w:szCs w:val="22"/>
                            </w:rPr>
                          </w:pPr>
                          <w:r w:rsidRPr="005C3A87">
                            <w:rPr>
                              <w:sz w:val="22"/>
                              <w:szCs w:val="22"/>
                            </w:rPr>
                            <w:t>Рис.2.4.</w:t>
                          </w:r>
                          <w:r w:rsidRPr="005C3A87">
                            <w:rPr>
                              <w:i w:val="0"/>
                              <w:iCs w:val="0"/>
                              <w:sz w:val="22"/>
                              <w:szCs w:val="22"/>
                            </w:rPr>
                            <w:t xml:space="preserve"> </w:t>
                          </w:r>
                          <w:r w:rsidRPr="005C3A87">
                            <w:rPr>
                              <w:sz w:val="22"/>
                              <w:szCs w:val="22"/>
                            </w:rPr>
                            <w:t>Зміни обсягу пропонування</w:t>
                          </w:r>
                          <w:r w:rsidRPr="005C3A87">
                            <w:rPr>
                              <w:sz w:val="22"/>
                              <w:szCs w:val="22"/>
                              <w:lang w:val="ru-RU"/>
                            </w:rPr>
                            <w:t xml:space="preserve"> </w:t>
                          </w:r>
                          <w:r w:rsidRPr="005C3A87">
                            <w:rPr>
                              <w:sz w:val="22"/>
                              <w:szCs w:val="22"/>
                            </w:rPr>
                            <w:t>при зміні ціни</w:t>
                          </w:r>
                        </w:p>
                      </w:tc>
                      <w:tc>
                        <w:tcPr>
                          <w:tcW w:w="368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:rsidR="005C3A87" w:rsidRPr="005C3A87" w:rsidRDefault="005C3A87">
                          <w:pPr>
                            <w:jc w:val="both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2"/>
                              <w:szCs w:val="22"/>
                            </w:rPr>
                          </w:pPr>
                          <w:r w:rsidRPr="005C3A87">
                            <w:rPr>
                              <w:rFonts w:ascii="Times New Roman" w:hAnsi="Times New Roman" w:cs="Times New Roman"/>
                              <w:b/>
                              <w:bCs/>
                              <w:sz w:val="22"/>
                              <w:szCs w:val="22"/>
                            </w:rPr>
                            <w:t>Рис. 2.5.</w:t>
                          </w:r>
                          <w:r w:rsidRPr="005C3A87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2"/>
                              <w:szCs w:val="22"/>
                            </w:rPr>
                            <w:t xml:space="preserve"> Вплив нецінових детермінант. Зміни у пропонуванні</w:t>
                          </w:r>
                        </w:p>
                      </w:tc>
                    </w:tr>
                    <w:tr w:rsidR="005C3A87" w:rsidRPr="005C3A87">
                      <w:trPr>
                        <w:trHeight w:val="248"/>
                      </w:trPr>
                      <w:tc>
                        <w:tcPr>
                          <w:tcW w:w="3261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:rsidR="005C3A87" w:rsidRPr="005C3A87" w:rsidRDefault="005C3A87">
                          <w:pPr>
                            <w:jc w:val="both"/>
                            <w:rPr>
                              <w:b/>
                              <w:bCs/>
                              <w:i/>
                              <w:iCs/>
                            </w:rPr>
                          </w:pPr>
                          <w:r w:rsidRPr="005C3A87">
                            <w:rPr>
                              <w:b/>
                              <w:bCs/>
                              <w:i/>
                              <w:iCs/>
                            </w:rPr>
                            <w:t>при зміні ціни</w:t>
                          </w:r>
                        </w:p>
                      </w:tc>
                      <w:tc>
                        <w:tcPr>
                          <w:tcW w:w="3685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:rsidR="005C3A87" w:rsidRPr="005C3A87" w:rsidRDefault="005C3A87">
                          <w:pPr>
                            <w:jc w:val="both"/>
                            <w:rPr>
                              <w:b/>
                              <w:bCs/>
                              <w:i/>
                              <w:iCs/>
                            </w:rPr>
                          </w:pPr>
                          <w:r w:rsidRPr="005C3A87">
                            <w:rPr>
                              <w:b/>
                              <w:bCs/>
                              <w:i/>
                              <w:iCs/>
                            </w:rPr>
                            <w:t>детермінант. Зміни пропонування</w:t>
                          </w:r>
                        </w:p>
                      </w:tc>
                    </w:tr>
                  </w:tbl>
                  <w:p w:rsidR="005C3A87" w:rsidRDefault="005C3A87"/>
                </w:txbxContent>
              </v:textbox>
            </v:shape>
            <w10:wrap type="square"/>
          </v:group>
        </w:pic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t>Графічним відображенням функції пропонування є</w:t>
      </w:r>
      <w:r w:rsidR="005C3A87">
        <w:rPr>
          <w:spacing w:val="-4"/>
          <w:sz w:val="28"/>
          <w:szCs w:val="28"/>
        </w:rPr>
        <w:t xml:space="preserve"> </w:t>
      </w:r>
      <w:r w:rsidR="005C3A87">
        <w:rPr>
          <w:rFonts w:ascii="Book Antiqua" w:hAnsi="Book Antiqua" w:cs="Book Antiqua"/>
          <w:b/>
          <w:bCs/>
          <w:i/>
          <w:iCs/>
          <w:spacing w:val="-4"/>
          <w:sz w:val="28"/>
          <w:szCs w:val="28"/>
        </w:rPr>
        <w:t>крива пропонування</w:t>
      </w:r>
      <w:r w:rsidR="005C3A87">
        <w:rPr>
          <w:spacing w:val="-4"/>
          <w:sz w:val="28"/>
          <w:szCs w:val="28"/>
        </w:rPr>
        <w:t xml:space="preserve"> </w: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t xml:space="preserve">(рис. 2.4). 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Зміни ціни </w:t>
      </w:r>
      <w:r>
        <w:rPr>
          <w:rFonts w:ascii="Times New Roman" w:hAnsi="Times New Roman" w:cs="Times New Roman"/>
          <w:sz w:val="28"/>
          <w:szCs w:val="28"/>
        </w:rPr>
        <w:t>спричиняють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зміни в обсязі пропонування,</w:t>
      </w:r>
      <w:r>
        <w:rPr>
          <w:rFonts w:ascii="Times New Roman" w:hAnsi="Times New Roman" w:cs="Times New Roman"/>
          <w:sz w:val="28"/>
          <w:szCs w:val="28"/>
        </w:rPr>
        <w:t xml:space="preserve"> що графічно відповідає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руху між точками на даній кривій пропонування</w:t>
      </w:r>
      <w:r>
        <w:rPr>
          <w:rFonts w:ascii="Times New Roman" w:hAnsi="Times New Roman" w:cs="Times New Roman"/>
          <w:sz w:val="28"/>
          <w:szCs w:val="28"/>
        </w:rPr>
        <w:t xml:space="preserve"> (рис. 2.4).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Нецінові детермінанти </w:t>
      </w:r>
      <w:r>
        <w:rPr>
          <w:rFonts w:ascii="Times New Roman" w:hAnsi="Times New Roman" w:cs="Times New Roman"/>
          <w:sz w:val="28"/>
          <w:szCs w:val="28"/>
        </w:rPr>
        <w:t>спричиняють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зміни у пропонуванні,</w:t>
      </w:r>
      <w:r>
        <w:rPr>
          <w:rFonts w:ascii="Times New Roman" w:hAnsi="Times New Roman" w:cs="Times New Roman"/>
          <w:sz w:val="28"/>
          <w:szCs w:val="28"/>
        </w:rPr>
        <w:t xml:space="preserve"> що графічно відповідає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зміщенню всієї кривої пропонування</w:t>
      </w:r>
      <w:r>
        <w:rPr>
          <w:rFonts w:ascii="Times New Roman" w:hAnsi="Times New Roman" w:cs="Times New Roman"/>
          <w:sz w:val="28"/>
          <w:szCs w:val="28"/>
        </w:rPr>
        <w:t xml:space="preserve"> праворуч-вниз, якщо пропонування зростає, і ліворуч-вгору, якщо пропонування скорочується (рис. 2.5).</w:t>
      </w:r>
    </w:p>
    <w:p w:rsidR="005C3A87" w:rsidRDefault="005C3A87">
      <w:pPr>
        <w:pStyle w:val="23"/>
        <w:spacing w:line="240" w:lineRule="auto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До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нецінових детермінант пропонування</w:t>
      </w:r>
      <w:r>
        <w:rPr>
          <w:sz w:val="28"/>
          <w:szCs w:val="28"/>
        </w:rPr>
        <w:t xml:space="preserve"> належать</w:t>
      </w:r>
      <w:r>
        <w:rPr>
          <w:i/>
          <w:iCs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ціни ресурсів; технології виробництва; кількість продавців на ринку; податки та дотації; зміни цін інших товарів; очікування зміни цін.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lastRenderedPageBreak/>
        <w:t>Ціни ресурсів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чинять вплив на пропонування через витрати виробництва. Зниження цін ресурсів дозволяє виробляти більше продукції. Наприклад, якщо ціни енергоносіїв або матеріалів знизяться, фірма за інших рівних умов зможе закупити більше ресурсів і виробити більше продукції. Крива пропонування зміститься праворуч. 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Більш досконалі</w:t>
      </w:r>
      <w:r>
        <w:rPr>
          <w:sz w:val="28"/>
          <w:szCs w:val="28"/>
        </w:rPr>
        <w:t xml:space="preserve">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технології виробництва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дозволяють фірмі виробляти більше з тими ж самим ресурсами. Крива пропонування зрушиться праворуч. 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Збільшення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числа продавців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ринку призводить до зростання пропонування, крива пропонування зміщується праворуч, і навпаки, зменшення числа продавців змістить криву пропонування ліворуч.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Податки</w:t>
      </w:r>
      <w:r>
        <w:rPr>
          <w:rFonts w:ascii="Bookman Old Style" w:hAnsi="Bookman Old Style" w:cs="Bookman Old Style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скорочують пропонування, якщо розглядаються виробниками як збільшення витрат виробництва.</w:t>
      </w:r>
      <w:r>
        <w:rPr>
          <w:sz w:val="28"/>
          <w:szCs w:val="28"/>
        </w:rPr>
        <w:t xml:space="preserve"> </w:t>
      </w: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Субсидії</w:t>
      </w:r>
      <w:r>
        <w:rPr>
          <w:rFonts w:ascii="Book Antiqua" w:hAnsi="Book Antiqua" w:cs="Book Antiqua"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навпаки, покривають частину витрат виробника, внаслідок чого пропонування зро</w:t>
      </w:r>
      <w:r>
        <w:rPr>
          <w:rFonts w:ascii="Times New Roman" w:hAnsi="Times New Roman" w:cs="Times New Roman"/>
          <w:sz w:val="28"/>
          <w:szCs w:val="28"/>
        </w:rPr>
        <w:softHyphen/>
        <w:t>стає. Податки зрушують криву пропонування ліворуч, дотації – пра</w:t>
      </w:r>
      <w:r>
        <w:rPr>
          <w:rFonts w:ascii="Times New Roman" w:hAnsi="Times New Roman" w:cs="Times New Roman"/>
          <w:sz w:val="28"/>
          <w:szCs w:val="28"/>
        </w:rPr>
        <w:softHyphen/>
        <w:t>воруч.</w:t>
      </w:r>
    </w:p>
    <w:p w:rsidR="005C3A87" w:rsidRDefault="005C3A87">
      <w:pPr>
        <w:ind w:firstLine="567"/>
        <w:jc w:val="both"/>
        <w:rPr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pacing w:val="-4"/>
          <w:sz w:val="28"/>
          <w:szCs w:val="28"/>
        </w:rPr>
        <w:t>Зміни цін інших товарів</w:t>
      </w:r>
      <w:r>
        <w:rPr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>чинять вплив на пропонування через зміни у структурі виробництва. Якщо, наприклад, фермер вирощує два види сільськогосподарської продукції – моркву та цибулю, і ціни на моркву зростають, фермеру буде вигідно збільшити угіддя під морквою за рахунок зменшення площ під цибулею. Пропонування цибулі зменшиться, хоча її ціна залишилася незмінною. Крива пропонування цибулі зміщується ліворуч.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Book Antiqua" w:hAnsi="Book Antiqua" w:cs="Book Antiqua"/>
          <w:b/>
          <w:bCs/>
          <w:i/>
          <w:iCs/>
          <w:sz w:val="28"/>
          <w:szCs w:val="28"/>
        </w:rPr>
        <w:t>В очікуванні зміни цін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поведінка продавців є прямо протилежною поведінці споживачів. Якщо виробники очікують зростання цін у майбутньому, вони вже сьогодні скоротять пропонування, розраховуючи продати свій товар згодом дорожче. Крива пропонування зміститься ліворуч. 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 врахуванням нецінових детермінант функція пропонування може бути представлена формулою: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Q</w:t>
      </w:r>
      <w:r>
        <w:rPr>
          <w:rFonts w:ascii="Times New Roman" w:hAnsi="Times New Roman" w:cs="Times New Roman"/>
          <w:i/>
          <w:iCs/>
          <w:sz w:val="32"/>
          <w:szCs w:val="32"/>
          <w:vertAlign w:val="subscript"/>
          <w:lang w:val="en-US"/>
        </w:rPr>
        <w:t>S</w:t>
      </w:r>
      <w:r>
        <w:rPr>
          <w:rFonts w:ascii="Times New Roman" w:hAnsi="Times New Roman" w:cs="Times New Roman"/>
          <w:i/>
          <w:iCs/>
          <w:sz w:val="32"/>
          <w:szCs w:val="32"/>
          <w:vertAlign w:val="subscript"/>
        </w:rPr>
        <w:t xml:space="preserve"> 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= 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f</w:t>
      </w:r>
      <w:r>
        <w:rPr>
          <w:rFonts w:ascii="Times New Roman" w:hAnsi="Times New Roman" w:cs="Times New Roman"/>
          <w:i/>
          <w:iCs/>
          <w:sz w:val="32"/>
          <w:szCs w:val="32"/>
        </w:rPr>
        <w:t>(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P</w:t>
      </w:r>
      <w:r>
        <w:rPr>
          <w:rFonts w:ascii="Times New Roman" w:hAnsi="Times New Roman" w:cs="Times New Roman"/>
          <w:i/>
          <w:iCs/>
          <w:sz w:val="32"/>
          <w:szCs w:val="32"/>
        </w:rPr>
        <w:t xml:space="preserve">, </w:t>
      </w:r>
      <w:r>
        <w:rPr>
          <w:rFonts w:ascii="Times New Roman" w:hAnsi="Times New Roman" w:cs="Times New Roman"/>
          <w:i/>
          <w:iCs/>
          <w:sz w:val="32"/>
          <w:szCs w:val="32"/>
          <w:lang w:val="en-US"/>
        </w:rPr>
        <w:t>N</w:t>
      </w:r>
      <w:r>
        <w:rPr>
          <w:rFonts w:ascii="Times New Roman" w:hAnsi="Times New Roman" w:cs="Times New Roman"/>
          <w:i/>
          <w:iCs/>
          <w:sz w:val="32"/>
          <w:szCs w:val="32"/>
          <w:vertAlign w:val="subscript"/>
          <w:lang w:val="en-US"/>
        </w:rPr>
        <w:t>S</w:t>
      </w:r>
      <w:r>
        <w:rPr>
          <w:rFonts w:ascii="Times New Roman" w:hAnsi="Times New Roman" w:cs="Times New Roman"/>
          <w:i/>
          <w:iCs/>
          <w:sz w:val="32"/>
          <w:szCs w:val="32"/>
        </w:rPr>
        <w:t>),</w:t>
      </w:r>
      <w:r>
        <w:rPr>
          <w:rFonts w:ascii="Times New Roman" w:hAnsi="Times New Roman" w:cs="Times New Roman"/>
          <w:sz w:val="28"/>
          <w:szCs w:val="28"/>
        </w:rPr>
        <w:t xml:space="preserve">      де      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нецінові детермінанти пропонування.</w:t>
      </w:r>
    </w:p>
    <w:p w:rsidR="005C3A87" w:rsidRDefault="005C3A87">
      <w:pPr>
        <w:ind w:firstLine="567"/>
        <w:jc w:val="both"/>
        <w:rPr>
          <w:sz w:val="32"/>
          <w:szCs w:val="32"/>
        </w:rPr>
      </w:pPr>
    </w:p>
    <w:p w:rsidR="005C3A87" w:rsidRDefault="005C3A87">
      <w:pPr>
        <w:jc w:val="center"/>
        <w:rPr>
          <w:rFonts w:ascii="Book Antiqua" w:hAnsi="Book Antiqua" w:cs="Book Antiqua"/>
          <w:b/>
          <w:bCs/>
          <w:sz w:val="32"/>
          <w:szCs w:val="32"/>
        </w:rPr>
      </w:pPr>
      <w:r>
        <w:rPr>
          <w:rFonts w:ascii="Book Antiqua" w:hAnsi="Book Antiqua" w:cs="Book Antiqua"/>
          <w:b/>
          <w:bCs/>
          <w:sz w:val="32"/>
          <w:szCs w:val="32"/>
        </w:rPr>
        <w:t xml:space="preserve">2.3. Ринкова рівновага. Утворення ринкової ціни та її роль. </w:t>
      </w:r>
    </w:p>
    <w:p w:rsidR="005C3A87" w:rsidRDefault="005C3A87">
      <w:pPr>
        <w:jc w:val="center"/>
        <w:rPr>
          <w:rFonts w:ascii="Book Antiqua" w:hAnsi="Book Antiqua" w:cs="Book Antiqua"/>
          <w:b/>
          <w:bCs/>
          <w:sz w:val="32"/>
          <w:szCs w:val="32"/>
        </w:rPr>
      </w:pPr>
      <w:r>
        <w:rPr>
          <w:rFonts w:ascii="Book Antiqua" w:hAnsi="Book Antiqua" w:cs="Book Antiqua"/>
          <w:b/>
          <w:bCs/>
          <w:sz w:val="32"/>
          <w:szCs w:val="32"/>
        </w:rPr>
        <w:t>Зміни у стані рівноваги</w:t>
      </w:r>
    </w:p>
    <w:p w:rsidR="005C3A87" w:rsidRDefault="00A826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ru-RU"/>
        </w:rPr>
        <w:pict>
          <v:group id="_x0000_s1037" style="position:absolute;left:0;text-align:left;margin-left:0;margin-top:5.2pt;width:190.15pt;height:189.35pt;z-index:251657216" coordorigin="851,4440" coordsize="3803,3787">
            <v:shape id="_x0000_s1038" type="#_x0000_t202" style="position:absolute;left:1233;top:7853;width:3414;height:374" filled="f" stroked="f">
              <v:textbox>
                <w:txbxContent>
                  <w:p w:rsidR="005C3A87" w:rsidRDefault="005C3A87">
                    <w:pPr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2"/>
                        <w:szCs w:val="22"/>
                      </w:rPr>
                      <w:t>Рис. 2.6</w:t>
                    </w:r>
                    <w:r>
                      <w:rPr>
                        <w:rFonts w:ascii="Times New Roman" w:hAnsi="Times New Roman" w:cs="Times New Roman"/>
                        <w:sz w:val="22"/>
                        <w:szCs w:val="22"/>
                      </w:rPr>
                      <w:t xml:space="preserve">.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  <w:t>Ринкова рівновага</w:t>
                    </w:r>
                  </w:p>
                </w:txbxContent>
              </v:textbox>
            </v:shape>
            <v:shape id="_x0000_s1039" type="#_x0000_t75" style="position:absolute;left:851;top:4440;width:3803;height:3343;mso-position-horizontal:left">
              <v:imagedata r:id="rId11" o:title="Rozd 2-7"/>
            </v:shape>
            <w10:wrap type="square"/>
          </v:group>
        </w:pict>
      </w:r>
      <w:r w:rsidR="005C3A87">
        <w:rPr>
          <w:rFonts w:ascii="Times New Roman" w:hAnsi="Times New Roman" w:cs="Times New Roman"/>
          <w:sz w:val="28"/>
          <w:szCs w:val="28"/>
        </w:rPr>
        <w:t xml:space="preserve"> Взаємодія попиту і пропонування визначає ринкову рівновагу.</w:t>
      </w:r>
      <w:r w:rsidR="005C3A87">
        <w:rPr>
          <w:sz w:val="28"/>
          <w:szCs w:val="28"/>
        </w:rPr>
        <w:t xml:space="preserve"> </w:t>
      </w:r>
      <w:r w:rsidR="005C3A87">
        <w:rPr>
          <w:rFonts w:ascii="Book Antiqua" w:hAnsi="Book Antiqua" w:cs="Book Antiqua"/>
          <w:b/>
          <w:bCs/>
          <w:i/>
          <w:iCs/>
          <w:sz w:val="28"/>
          <w:szCs w:val="28"/>
        </w:rPr>
        <w:t>Ринкова рівновага</w:t>
      </w:r>
      <w:r w:rsidR="005C3A8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5C3A87">
        <w:rPr>
          <w:rFonts w:ascii="Times New Roman" w:hAnsi="Times New Roman" w:cs="Times New Roman"/>
          <w:sz w:val="28"/>
          <w:szCs w:val="28"/>
        </w:rPr>
        <w:t xml:space="preserve">– це стан ринку, за якого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обсяги попиту та пропонування збігаються</w:t>
      </w:r>
      <w:r w:rsidR="005C3A87">
        <w:rPr>
          <w:rFonts w:ascii="Times New Roman" w:hAnsi="Times New Roman" w:cs="Times New Roman"/>
          <w:sz w:val="28"/>
          <w:szCs w:val="28"/>
        </w:rPr>
        <w:t xml:space="preserve">. Криві попиту і пропонування в точці кількісно-цінової рівноваги </w:t>
      </w:r>
      <w:r w:rsidR="005C3A87">
        <w:rPr>
          <w:rFonts w:ascii="Times New Roman" w:hAnsi="Times New Roman" w:cs="Times New Roman"/>
          <w:position w:val="-4"/>
          <w:sz w:val="28"/>
          <w:szCs w:val="28"/>
        </w:rPr>
        <w:object w:dxaOrig="240" w:dyaOrig="260">
          <v:shape id="_x0000_i1026" type="#_x0000_t75" style="width:15.75pt;height:16.5pt" o:ole="" fillcolor="window">
            <v:imagedata r:id="rId12" o:title=""/>
          </v:shape>
          <o:OLEObject Type="Embed" ProgID="Equation.3" ShapeID="_x0000_i1026" DrawAspect="Content" ObjectID="_1458054419" r:id="rId13"/>
        </w:object>
      </w:r>
      <w:r w:rsidR="005C3A87">
        <w:rPr>
          <w:rFonts w:ascii="Times New Roman" w:hAnsi="Times New Roman" w:cs="Times New Roman"/>
          <w:sz w:val="28"/>
          <w:szCs w:val="28"/>
        </w:rPr>
        <w:t xml:space="preserve"> перетинаються (рис. 2.6). </w:t>
      </w:r>
    </w:p>
    <w:p w:rsidR="005C3A87" w:rsidRDefault="005C3A8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Ціна рівноваги</w:t>
      </w:r>
      <w:r>
        <w:rPr>
          <w:rFonts w:ascii="Times New Roman" w:hAnsi="Times New Roman" w:cs="Times New Roman"/>
          <w:sz w:val="28"/>
          <w:szCs w:val="28"/>
        </w:rPr>
        <w:t xml:space="preserve"> – це ринкова ціна </w:t>
      </w:r>
      <w:r>
        <w:rPr>
          <w:rFonts w:ascii="Times New Roman" w:hAnsi="Times New Roman" w:cs="Times New Roman"/>
          <w:i/>
          <w:iCs/>
          <w:sz w:val="32"/>
          <w:szCs w:val="32"/>
        </w:rPr>
        <w:t>(P</w:t>
      </w:r>
      <w:r>
        <w:rPr>
          <w:rFonts w:ascii="Times New Roman" w:hAnsi="Times New Roman" w:cs="Times New Roman"/>
          <w:i/>
          <w:iCs/>
          <w:sz w:val="32"/>
          <w:szCs w:val="32"/>
          <w:vertAlign w:val="superscript"/>
        </w:rPr>
        <w:t>*</w:t>
      </w:r>
      <w:r>
        <w:rPr>
          <w:rFonts w:ascii="Times New Roman" w:hAnsi="Times New Roman" w:cs="Times New Roman"/>
          <w:i/>
          <w:iCs/>
          <w:sz w:val="32"/>
          <w:szCs w:val="32"/>
        </w:rPr>
        <w:t>)</w:t>
      </w:r>
      <w:r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за якої обсяг попиту дорівнює обсягу пропонування. Це ціна, яка задовольняє і продавців, і покупців, за цією ціною їхні інтереси співпадають. У точці рівноваги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відсутні як дефіцит, так і надлишок товарів, </w:t>
      </w:r>
      <w:r>
        <w:rPr>
          <w:rFonts w:ascii="Times New Roman" w:hAnsi="Times New Roman" w:cs="Times New Roman"/>
          <w:sz w:val="28"/>
          <w:szCs w:val="28"/>
        </w:rPr>
        <w:t xml:space="preserve">отже, зникають чинники, які спричиняють зміну ціни. </w:t>
      </w:r>
    </w:p>
    <w:p w:rsidR="005C3A87" w:rsidRDefault="005C3A87">
      <w:pPr>
        <w:pStyle w:val="23"/>
        <w:spacing w:line="240" w:lineRule="auto"/>
      </w:pPr>
      <w:r>
        <w:rPr>
          <w:sz w:val="28"/>
          <w:szCs w:val="28"/>
        </w:rPr>
        <w:t xml:space="preserve">Рівновага окремого ринку певного товару,  називається </w:t>
      </w:r>
      <w:r>
        <w:rPr>
          <w:b/>
          <w:bCs/>
          <w:i/>
          <w:iCs/>
          <w:sz w:val="28"/>
          <w:szCs w:val="28"/>
        </w:rPr>
        <w:t>частковою рівновагою</w:t>
      </w:r>
      <w:r>
        <w:rPr>
          <w:sz w:val="28"/>
          <w:szCs w:val="28"/>
        </w:rPr>
        <w:t>. Її умовою є:</w:t>
      </w:r>
      <w:r>
        <w:t xml:space="preserve"> </w:t>
      </w:r>
      <w:r>
        <w:rPr>
          <w:b/>
          <w:bCs/>
        </w:rPr>
        <w:t xml:space="preserve"> </w:t>
      </w:r>
      <w:r>
        <w:rPr>
          <w:i/>
          <w:iCs/>
          <w:sz w:val="32"/>
          <w:szCs w:val="32"/>
          <w:lang w:val="en-US"/>
        </w:rPr>
        <w:t>Q</w:t>
      </w:r>
      <w:r>
        <w:rPr>
          <w:i/>
          <w:iCs/>
          <w:sz w:val="32"/>
          <w:szCs w:val="32"/>
          <w:vertAlign w:val="subscript"/>
          <w:lang w:val="en-US"/>
        </w:rPr>
        <w:t>D</w:t>
      </w:r>
      <w:r>
        <w:rPr>
          <w:i/>
          <w:iCs/>
          <w:sz w:val="32"/>
          <w:szCs w:val="32"/>
        </w:rPr>
        <w:t>=</w:t>
      </w:r>
      <w:r>
        <w:rPr>
          <w:i/>
          <w:iCs/>
          <w:sz w:val="32"/>
          <w:szCs w:val="32"/>
          <w:lang w:val="en-US"/>
        </w:rPr>
        <w:t>Q</w:t>
      </w:r>
      <w:r>
        <w:rPr>
          <w:i/>
          <w:iCs/>
          <w:sz w:val="32"/>
          <w:szCs w:val="32"/>
          <w:vertAlign w:val="subscript"/>
          <w:lang w:val="en-US"/>
        </w:rPr>
        <w:t>S</w:t>
      </w:r>
      <w:r>
        <w:rPr>
          <w:sz w:val="32"/>
          <w:szCs w:val="32"/>
          <w:vertAlign w:val="subscript"/>
        </w:rPr>
        <w:t>.</w:t>
      </w:r>
      <w:r>
        <w:rPr>
          <w:i/>
          <w:iCs/>
          <w:sz w:val="32"/>
          <w:szCs w:val="32"/>
        </w:rPr>
        <w:t xml:space="preserve"> </w:t>
      </w:r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>
        <w:t xml:space="preserve">              </w:t>
      </w:r>
    </w:p>
    <w:p w:rsidR="005C3A87" w:rsidRDefault="00A826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ru-RU"/>
        </w:rPr>
        <w:pict>
          <v:group id="_x0000_s1040" style="position:absolute;left:0;text-align:left;margin-left:310.75pt;margin-top:462.45pt;width:223.65pt;height:177.35pt;z-index:251658240;mso-position-vertical-relative:page" coordorigin="851,1939" coordsize="3499,3417">
            <v:shape id="_x0000_s1041" type="#_x0000_t202" style="position:absolute;left:851;top:4886;width:3499;height:470" stroked="f">
              <v:textbox style="mso-next-textbox:#_x0000_s1041" inset="0,.3mm,0,.3mm">
                <w:txbxContent>
                  <w:p w:rsidR="005C3A87" w:rsidRDefault="005C3A87">
                    <w:pPr>
                      <w:pStyle w:val="7"/>
                      <w:rPr>
                        <w:b/>
                        <w:bCs/>
                        <w:i/>
                        <w:i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sz w:val="22"/>
                        <w:szCs w:val="22"/>
                      </w:rPr>
                      <w:t>Рис. 2.7.</w:t>
                    </w:r>
                    <w:r>
                      <w:rPr>
                        <w:b/>
                        <w:bCs/>
                        <w:i/>
                        <w:iCs/>
                        <w:sz w:val="22"/>
                        <w:szCs w:val="22"/>
                      </w:rPr>
                      <w:t xml:space="preserve"> Відхилення цін від рівноважної </w:t>
                    </w:r>
                  </w:p>
                </w:txbxContent>
              </v:textbox>
            </v:shape>
            <v:shape id="_x0000_s1042" type="#_x0000_t75" style="position:absolute;left:851;top:1939;width:3046;height:2906;mso-position-horizontal:left">
              <v:imagedata r:id="rId14" o:title="Rozd 2-8"/>
            </v:shape>
            <w10:wrap type="square" anchory="page"/>
          </v:group>
        </w:pict>
      </w:r>
      <w:r w:rsidR="005C3A87">
        <w:rPr>
          <w:rFonts w:ascii="Times New Roman" w:hAnsi="Times New Roman" w:cs="Times New Roman"/>
          <w:sz w:val="28"/>
          <w:szCs w:val="28"/>
        </w:rPr>
        <w:t xml:space="preserve"> Ринок не завжди перебуває в стані рівноваги, але завжди існує тенденція до вирівнювання обсягів попиту і пропонування. Якщо ціна відхиляється вгору від рівноважної, з’являється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надлишок</w:t>
      </w:r>
      <w:r w:rsidR="005C3A87">
        <w:rPr>
          <w:rFonts w:ascii="Times New Roman" w:hAnsi="Times New Roman" w:cs="Times New Roman"/>
          <w:sz w:val="28"/>
          <w:szCs w:val="28"/>
        </w:rPr>
        <w:t xml:space="preserve"> товарів у продавців, загострення конкуренції змушує їх знижувати рівень ціни до рівноважного, а якщо ціна опустилась нижче за рівноважну, то виникає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дефіцит</w:t>
      </w:r>
      <w:r w:rsidR="005C3A87">
        <w:rPr>
          <w:rFonts w:ascii="Times New Roman" w:hAnsi="Times New Roman" w:cs="Times New Roman"/>
          <w:sz w:val="28"/>
          <w:szCs w:val="28"/>
        </w:rPr>
        <w:t xml:space="preserve"> товарів і, користуючись конкуренцією серед покупців, продавці піднімають ціну (рис. 2.7). Отже, зміна ціни повертає ринок до попередньої рівноваги.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Точка рівноваги є стійкою</w:t>
      </w:r>
      <w:r w:rsidR="005C3A87">
        <w:rPr>
          <w:rFonts w:ascii="Times New Roman" w:hAnsi="Times New Roman" w:cs="Times New Roman"/>
          <w:sz w:val="28"/>
          <w:szCs w:val="28"/>
        </w:rPr>
        <w:t xml:space="preserve">, а коливання ціни відіграє роль механізму саморегулювання ринкової системи. </w:t>
      </w:r>
    </w:p>
    <w:p w:rsidR="005C3A87" w:rsidRDefault="005C3A87">
      <w:pPr>
        <w:pStyle w:val="21"/>
        <w:spacing w:line="240" w:lineRule="auto"/>
        <w:rPr>
          <w:rFonts w:ascii="Times New Roman" w:hAnsi="Times New Roman" w:cs="Times New Roman"/>
          <w:spacing w:val="-4"/>
        </w:rPr>
      </w:pPr>
      <w:r>
        <w:rPr>
          <w:rFonts w:ascii="Times New Roman" w:hAnsi="Times New Roman" w:cs="Times New Roman"/>
        </w:rPr>
        <w:t>Але рівновага може змінитися під впливом будь-якої з нецінових детермінант. Точка рівноваги переміщується в нове положення і не повертається назад, ринкова система набуває нової рівноваги з іншими параметрами рівноважних цін і обсягу (рис.2.8). Якщо на ринку за інших рівних умов зростає (скорочується) лише попит, то рівноважна ціна і рівноважний обсяг продукції зростуть (скоротяться); якщо зростає (скорочується) лише пропонування, то рівноважна ціна зменшиться (збільшиться), а рівноважний обсяг зросте (скоротиться),</w:t>
      </w:r>
      <w:r>
        <w:rPr>
          <w:rFonts w:ascii="Times New Roman" w:hAnsi="Times New Roman" w:cs="Times New Roman"/>
          <w:b/>
          <w:bCs/>
          <w:i/>
          <w:iCs/>
          <w:noProof/>
        </w:rPr>
        <w:t xml:space="preserve"> </w:t>
      </w:r>
      <w:r>
        <w:rPr>
          <w:rFonts w:ascii="Times New Roman" w:hAnsi="Times New Roman" w:cs="Times New Roman"/>
        </w:rPr>
        <w:t xml:space="preserve">Якщо одночасно зростають (скорочуються) і попит, і пропонування, рівноважний обсяг продукції зросте (скоротиться), але вплив на рівноважну ціну є невизначеним, він залежить від ступеня взаємних змін попиту та пропонування. </w:t>
      </w:r>
      <w:r>
        <w:rPr>
          <w:rFonts w:ascii="Times New Roman" w:hAnsi="Times New Roman" w:cs="Times New Roman"/>
          <w:spacing w:val="-4"/>
        </w:rPr>
        <w:t>Рівноважна ціна зменшиться, якщо попит зросте в меншій мірі, ніж пропонування, і зросте, якщо попит зростає в більшій мірі, ніж пропонування.</w:t>
      </w:r>
    </w:p>
    <w:p w:rsidR="005C3A87" w:rsidRDefault="00A82676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ru-RU"/>
        </w:rPr>
        <w:pict>
          <v:group id="_x0000_s1043" style="position:absolute;left:0;text-align:left;margin-left:-3.75pt;margin-top:54.45pt;width:367.25pt;height:167.8pt;z-index:251656192;mso-position-vertical-relative:page" coordorigin="692,909" coordsize="7345,3356">
            <v:shape id="_x0000_s1044" type="#_x0000_t75" style="position:absolute;left:692;top:909;width:7345;height:2983;mso-position-vertical-relative:page">
              <v:imagedata r:id="rId15" o:title="Rozd 2-10"/>
            </v:shape>
            <v:shape id="_x0000_s1045" type="#_x0000_t202" style="position:absolute;left:921;top:3866;width:6342;height:399" filled="f" stroked="f">
              <v:textbox style="mso-next-textbox:#_x0000_s1045">
                <w:txbxContent>
                  <w:tbl>
                    <w:tblPr>
                      <w:tblW w:w="0" w:type="auto"/>
                      <w:tblInd w:w="-108" w:type="dxa"/>
                      <w:tblLayout w:type="fixed"/>
                      <w:tblLook w:val="0000" w:firstRow="0" w:lastRow="0" w:firstColumn="0" w:lastColumn="0" w:noHBand="0" w:noVBand="0"/>
                    </w:tblPr>
                    <w:tblGrid>
                      <w:gridCol w:w="6629"/>
                      <w:gridCol w:w="277"/>
                    </w:tblGrid>
                    <w:tr w:rsidR="005C3A87" w:rsidRPr="005C3A87">
                      <w:tc>
                        <w:tcPr>
                          <w:tcW w:w="6629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:rsidR="005C3A87" w:rsidRPr="005C3A87" w:rsidRDefault="005C3A87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2"/>
                              <w:szCs w:val="22"/>
                            </w:rPr>
                          </w:pPr>
                          <w:r w:rsidRPr="005C3A87">
                            <w:rPr>
                              <w:rFonts w:ascii="Times New Roman" w:hAnsi="Times New Roman" w:cs="Times New Roman"/>
                              <w:b/>
                              <w:bCs/>
                              <w:sz w:val="22"/>
                              <w:szCs w:val="22"/>
                            </w:rPr>
                            <w:t>Рис. 2.8.</w:t>
                          </w:r>
                          <w:r w:rsidRPr="005C3A87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2"/>
                              <w:szCs w:val="22"/>
                            </w:rPr>
                            <w:t xml:space="preserve"> Зміна рівноваги при зміні попиту та  пропону</w:t>
                          </w:r>
                          <w:r w:rsidRPr="005C3A87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2"/>
                              <w:szCs w:val="22"/>
                            </w:rPr>
                            <w:softHyphen/>
                            <w:t>вання</w:t>
                          </w:r>
                        </w:p>
                      </w:tc>
                      <w:tc>
                        <w:tcPr>
                          <w:tcW w:w="277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</w:tcPr>
                        <w:p w:rsidR="005C3A87" w:rsidRPr="005C3A87" w:rsidRDefault="005C3A87">
                          <w:pPr>
                            <w:jc w:val="center"/>
                            <w:rPr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</w:pPr>
                        </w:p>
                      </w:tc>
                    </w:tr>
                  </w:tbl>
                  <w:p w:rsidR="005C3A87" w:rsidRDefault="005C3A87">
                    <w:pPr>
                      <w:pStyle w:val="a3"/>
                      <w:tabs>
                        <w:tab w:val="clear" w:pos="4153"/>
                        <w:tab w:val="clear" w:pos="8306"/>
                      </w:tabs>
                    </w:pPr>
                  </w:p>
                </w:txbxContent>
              </v:textbox>
            </v:shape>
            <w10:wrap type="square" anchory="page"/>
          </v:group>
        </w:pict>
      </w:r>
      <w:r w:rsidR="005C3A87">
        <w:rPr>
          <w:rFonts w:ascii="Times New Roman" w:hAnsi="Times New Roman" w:cs="Times New Roman"/>
          <w:sz w:val="28"/>
          <w:szCs w:val="28"/>
        </w:rPr>
        <w:t xml:space="preserve">Зміни параметрів ринкової рівноваги також можуть відбуватись в результаті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втручання держави,</w:t>
      </w:r>
      <w:r w:rsidR="005C3A8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C3A87">
        <w:rPr>
          <w:rFonts w:ascii="Times New Roman" w:hAnsi="Times New Roman" w:cs="Times New Roman"/>
          <w:sz w:val="28"/>
          <w:szCs w:val="28"/>
        </w:rPr>
        <w:t>коли вона встановлює податок на виробників або надає їм субсидію. Виробники розглядають податки як збільшення витрат виробництва, що за інших рівних умов означає скорочення пропонуван</w:t>
      </w:r>
      <w:r w:rsidR="005C3A87">
        <w:rPr>
          <w:rFonts w:ascii="Times New Roman" w:hAnsi="Times New Roman" w:cs="Times New Roman"/>
          <w:sz w:val="28"/>
          <w:szCs w:val="28"/>
        </w:rPr>
        <w:softHyphen/>
        <w:t xml:space="preserve">ня, крива пропонування зміщується ліворуч. Зміщення кривої пропонування залежить не тільки від величини податку, але </w:t>
      </w:r>
      <w:r w:rsidR="005C3A87">
        <w:rPr>
          <w:rFonts w:ascii="Times New Roman" w:hAnsi="Times New Roman" w:cs="Times New Roman"/>
          <w:sz w:val="28"/>
          <w:szCs w:val="28"/>
        </w:rPr>
        <w:lastRenderedPageBreak/>
        <w:t>й від способу його стягнення.</w:t>
      </w:r>
    </w:p>
    <w:p w:rsidR="005C3A87" w:rsidRDefault="00A82676">
      <w:pPr>
        <w:pStyle w:val="a5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noProof/>
          <w:lang w:val="ru-RU"/>
        </w:rPr>
        <w:pict>
          <v:group id="_x0000_s1046" style="position:absolute;left:0;text-align:left;margin-left:-.95pt;margin-top:3.2pt;width:208.1pt;height:211.25pt;z-index:251659264" coordorigin="851,7178" coordsize="3014,3107">
            <v:shape id="_x0000_s1047" type="#_x0000_t202" style="position:absolute;left:892;top:9789;width:2973;height:496" strokecolor="white">
              <v:textbox style="mso-next-textbox:#_x0000_s1047" inset="0,0,0,0">
                <w:txbxContent>
                  <w:p w:rsidR="005C3A87" w:rsidRDefault="005C3A87">
                    <w:pPr>
                      <w:jc w:val="both"/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2"/>
                        <w:szCs w:val="22"/>
                      </w:rPr>
                      <w:t xml:space="preserve">Рис. 2.9.  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  <w:t>Вплив  податку як суми з одиниці товару на  рівновагу ринку</w:t>
                    </w:r>
                  </w:p>
                </w:txbxContent>
              </v:textbox>
            </v:shape>
            <v:shape id="_x0000_s1048" type="#_x0000_t75" style="position:absolute;left:851;top:7178;width:2654;height:2523;mso-position-horizontal:left">
              <v:imagedata r:id="rId16" o:title="Rozd 2-16(15)"/>
            </v:shape>
            <w10:wrap type="square"/>
          </v:group>
        </w:pict>
      </w:r>
      <w:r w:rsidR="005C3A87">
        <w:rPr>
          <w:rFonts w:ascii="Book Antiqua" w:hAnsi="Book Antiqua" w:cs="Book Antiqua"/>
          <w:b/>
          <w:bCs/>
          <w:i/>
          <w:iCs/>
          <w:spacing w:val="-4"/>
          <w:sz w:val="28"/>
          <w:szCs w:val="28"/>
        </w:rPr>
        <w:t>Податок</w: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t xml:space="preserve"> може стягуватись як певна </w:t>
      </w:r>
      <w:r w:rsidR="005C3A87">
        <w:rPr>
          <w:rFonts w:ascii="Times New Roman" w:hAnsi="Times New Roman" w:cs="Times New Roman"/>
          <w:b/>
          <w:bCs/>
          <w:i/>
          <w:iCs/>
          <w:spacing w:val="-4"/>
          <w:sz w:val="28"/>
          <w:szCs w:val="28"/>
        </w:rPr>
        <w:t>сума з одиниці товару</w:t>
      </w:r>
      <w:r w:rsidR="005C3A87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 </w: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t xml:space="preserve">або як </w:t>
      </w:r>
      <w:r w:rsidR="005C3A87">
        <w:rPr>
          <w:rFonts w:ascii="Times New Roman" w:hAnsi="Times New Roman" w:cs="Times New Roman"/>
          <w:b/>
          <w:bCs/>
          <w:i/>
          <w:iCs/>
          <w:spacing w:val="-4"/>
          <w:sz w:val="28"/>
          <w:szCs w:val="28"/>
        </w:rPr>
        <w:t xml:space="preserve">відсоток до ціни товару. </w: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t>У ви</w: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softHyphen/>
        <w:t>падку встановлення</w:t>
      </w:r>
      <w:r w:rsidR="005C3A87">
        <w:rPr>
          <w:rFonts w:ascii="Times New Roman" w:hAnsi="Times New Roman" w:cs="Times New Roman"/>
          <w:i/>
          <w:iCs/>
          <w:spacing w:val="-4"/>
          <w:sz w:val="28"/>
          <w:szCs w:val="28"/>
        </w:rPr>
        <w:t xml:space="preserve"> </w:t>
      </w:r>
      <w:r w:rsidR="005C3A87">
        <w:rPr>
          <w:rFonts w:ascii="Times New Roman" w:hAnsi="Times New Roman" w:cs="Times New Roman"/>
          <w:b/>
          <w:bCs/>
          <w:i/>
          <w:iCs/>
          <w:spacing w:val="-4"/>
          <w:sz w:val="28"/>
          <w:szCs w:val="28"/>
        </w:rPr>
        <w:t>податку</w:t>
      </w:r>
      <w:r w:rsidR="005C3A87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="005C3A87">
        <w:rPr>
          <w:rFonts w:ascii="Times New Roman" w:hAnsi="Times New Roman" w:cs="Times New Roman"/>
          <w:b/>
          <w:bCs/>
          <w:i/>
          <w:iCs/>
          <w:spacing w:val="-4"/>
          <w:sz w:val="28"/>
          <w:szCs w:val="28"/>
        </w:rPr>
        <w:t>з одиниці товару</w:t>
      </w:r>
      <w:r w:rsidR="005C3A87">
        <w:rPr>
          <w:rFonts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t>на виробників крива пропонування зміщується паралельно до по</w: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softHyphen/>
        <w:t xml:space="preserve">чаткової  на величину податку </w:t>
      </w:r>
      <w:r w:rsidR="005C3A87">
        <w:rPr>
          <w:rFonts w:ascii="Times New Roman" w:hAnsi="Times New Roman" w:cs="Times New Roman"/>
          <w:spacing w:val="-4"/>
          <w:position w:val="-10"/>
          <w:sz w:val="28"/>
          <w:szCs w:val="28"/>
        </w:rPr>
        <w:object w:dxaOrig="380" w:dyaOrig="320">
          <v:shape id="_x0000_i1027" type="#_x0000_t75" style="width:24.75pt;height:18pt" o:ole="" fillcolor="window">
            <v:imagedata r:id="rId17" o:title=""/>
          </v:shape>
          <o:OLEObject Type="Embed" ProgID="Equation.3" ShapeID="_x0000_i1027" DrawAspect="Content" ObjectID="_1458054420" r:id="rId18"/>
        </w:objec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t xml:space="preserve"> по вертикалі, точка рівноваги зміщуєть</w: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softHyphen/>
        <w:t xml:space="preserve">ся з </w:t>
      </w:r>
      <w:r w:rsidR="005C3A87">
        <w:rPr>
          <w:rFonts w:ascii="Times New Roman" w:hAnsi="Times New Roman" w:cs="Times New Roman"/>
          <w:spacing w:val="-4"/>
          <w:position w:val="-12"/>
          <w:sz w:val="28"/>
          <w:szCs w:val="28"/>
        </w:rPr>
        <w:object w:dxaOrig="300" w:dyaOrig="360">
          <v:shape id="_x0000_i1028" type="#_x0000_t75" style="width:15pt;height:18pt" o:ole="" fillcolor="window">
            <v:imagedata r:id="rId19" o:title=""/>
          </v:shape>
          <o:OLEObject Type="Embed" ProgID="Equation.3" ShapeID="_x0000_i1028" DrawAspect="Content" ObjectID="_1458054421" r:id="rId20"/>
        </w:objec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t xml:space="preserve"> до </w:t>
      </w:r>
      <w:r w:rsidR="005C3A87">
        <w:rPr>
          <w:rFonts w:ascii="Times New Roman" w:hAnsi="Times New Roman" w:cs="Times New Roman"/>
          <w:spacing w:val="-4"/>
          <w:position w:val="-10"/>
          <w:sz w:val="28"/>
          <w:szCs w:val="28"/>
        </w:rPr>
        <w:object w:dxaOrig="280" w:dyaOrig="340">
          <v:shape id="_x0000_i1029" type="#_x0000_t75" style="width:14.25pt;height:17.25pt" o:ole="" fillcolor="window">
            <v:imagedata r:id="rId21" o:title=""/>
          </v:shape>
          <o:OLEObject Type="Embed" ProgID="Equation.3" ShapeID="_x0000_i1029" DrawAspect="Content" ObjectID="_1458054422" r:id="rId22"/>
        </w:object>
      </w:r>
      <w:r w:rsidR="005C3A87">
        <w:rPr>
          <w:rFonts w:ascii="Times New Roman" w:hAnsi="Times New Roman" w:cs="Times New Roman"/>
          <w:spacing w:val="-4"/>
          <w:sz w:val="28"/>
          <w:szCs w:val="28"/>
        </w:rPr>
        <w:t xml:space="preserve"> (рис. 2.9). </w:t>
      </w:r>
    </w:p>
    <w:p w:rsidR="005C3A87" w:rsidRDefault="005C3A87">
      <w:pPr>
        <w:snapToGri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точці нової рівноваги </w:t>
      </w:r>
      <w:r>
        <w:rPr>
          <w:rFonts w:ascii="Times New Roman" w:hAnsi="Times New Roman" w:cs="Times New Roman"/>
          <w:position w:val="-10"/>
          <w:sz w:val="28"/>
          <w:szCs w:val="28"/>
        </w:rPr>
        <w:object w:dxaOrig="300" w:dyaOrig="340">
          <v:shape id="_x0000_i1030" type="#_x0000_t75" style="width:15pt;height:17.25pt" o:ole="" fillcolor="window">
            <v:imagedata r:id="rId23" o:title=""/>
          </v:shape>
          <o:OLEObject Type="Embed" ProgID="Equation.3" ShapeID="_x0000_i1030" DrawAspect="Content" ObjectID="_1458054423" r:id="rId24"/>
        </w:objec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ціна пропонування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, яка визначає виторг продавців, відрізняється від рівноважної –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ціни попиту</w:t>
      </w:r>
      <w:r>
        <w:rPr>
          <w:rFonts w:ascii="Times New Roman" w:hAnsi="Times New Roman" w:cs="Times New Roman"/>
          <w:position w:val="-10"/>
          <w:sz w:val="28"/>
          <w:szCs w:val="28"/>
        </w:rPr>
        <w:object w:dxaOrig="300" w:dyaOrig="340">
          <v:shape id="_x0000_i1031" type="#_x0000_t75" style="width:15pt;height:17.25pt" o:ole="" fillcolor="window">
            <v:imagedata r:id="rId25" o:title=""/>
          </v:shape>
          <o:OLEObject Type="Embed" ProgID="Equation.3" ShapeID="_x0000_i1031" DrawAspect="Content" ObjectID="_1458054424" r:id="rId26"/>
        </w:object>
      </w:r>
      <w:r>
        <w:rPr>
          <w:rFonts w:ascii="Times New Roman" w:hAnsi="Times New Roman" w:cs="Times New Roman"/>
          <w:sz w:val="28"/>
          <w:szCs w:val="28"/>
        </w:rPr>
        <w:t xml:space="preserve">, за якою купують товар покупці, на величину податку: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 w:cs="Times New Roman"/>
          <w:i/>
          <w:iCs/>
          <w:sz w:val="28"/>
          <w:szCs w:val="28"/>
        </w:rPr>
        <w:t>=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S</w:t>
      </w:r>
      <w:r>
        <w:rPr>
          <w:rFonts w:ascii="Times New Roman" w:hAnsi="Times New Roman" w:cs="Times New Roman"/>
          <w:i/>
          <w:iCs/>
          <w:sz w:val="28"/>
          <w:szCs w:val="28"/>
        </w:rPr>
        <w:t>+Т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C3A87" w:rsidRDefault="005C3A87">
      <w:pPr>
        <w:snapToGri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рівнянням рівноваги: </w:t>
      </w:r>
      <w:r>
        <w:rPr>
          <w:rFonts w:ascii="Times New Roman" w:hAnsi="Times New Roman" w:cs="Times New Roman"/>
          <w:i/>
          <w:iCs/>
          <w:sz w:val="28"/>
          <w:szCs w:val="28"/>
        </w:rPr>
        <w:t>а–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i/>
          <w:iCs/>
          <w:sz w:val="28"/>
          <w:szCs w:val="28"/>
        </w:rPr>
        <w:t>·(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S</w:t>
      </w:r>
      <w:r>
        <w:rPr>
          <w:rFonts w:ascii="Times New Roman" w:hAnsi="Times New Roman" w:cs="Times New Roman"/>
          <w:i/>
          <w:iCs/>
          <w:sz w:val="28"/>
          <w:szCs w:val="28"/>
        </w:rPr>
        <w:t>+Т)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= –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i/>
          <w:iCs/>
          <w:sz w:val="28"/>
          <w:szCs w:val="28"/>
        </w:rPr>
        <w:t>+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i/>
          <w:iCs/>
          <w:sz w:val="28"/>
          <w:szCs w:val="28"/>
        </w:rPr>
        <w:t>·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можна знайти ціну пропонування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, а потім – нові ціну рівноваги та рівноважний обсяг.</w:t>
      </w:r>
    </w:p>
    <w:p w:rsidR="005C3A87" w:rsidRDefault="00A82676">
      <w:pPr>
        <w:snapToGri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ru-RU"/>
        </w:rPr>
        <w:pict>
          <v:group id="_x0000_s1049" style="position:absolute;left:0;text-align:left;margin-left:-10.1pt;margin-top:565.85pt;width:231.7pt;height:213.75pt;z-index:251660288;mso-position-vertical-relative:page" coordorigin="697,3947" coordsize="2826,3061">
            <v:shape id="_x0000_s1050" type="#_x0000_t202" style="position:absolute;left:697;top:6503;width:2826;height:505" strokecolor="white">
              <v:textbox style="mso-next-textbox:#_x0000_s1050" inset="0,0,0,0">
                <w:txbxContent>
                  <w:p w:rsidR="005C3A87" w:rsidRDefault="005C3A87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22"/>
                        <w:szCs w:val="22"/>
                      </w:rPr>
                      <w:t>Рис. 2.10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  <w:t>. Вплив відсоткового</w:t>
                    </w:r>
                  </w:p>
                  <w:p w:rsidR="005C3A87" w:rsidRDefault="005C3A87">
                    <w:pPr>
                      <w:snapToGrid w:val="0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i/>
                        <w:iCs/>
                        <w:sz w:val="22"/>
                        <w:szCs w:val="22"/>
                      </w:rPr>
                      <w:t>податку  на рівновагу ринку</w:t>
                    </w:r>
                  </w:p>
                  <w:p w:rsidR="005C3A87" w:rsidRDefault="005C3A87">
                    <w:pPr>
                      <w:snapToGrid w:val="0"/>
                      <w:jc w:val="center"/>
                    </w:pPr>
                  </w:p>
                </w:txbxContent>
              </v:textbox>
            </v:shape>
            <v:shape id="_x0000_s1051" type="#_x0000_t75" style="position:absolute;left:851;top:3947;width:2559;height:2463;mso-position-horizontal:left">
              <v:imagedata r:id="rId27" o:title="Rozd 2-15"/>
            </v:shape>
            <w10:wrap type="square" anchory="page"/>
          </v:group>
        </w:pict>
      </w:r>
      <w:r w:rsidR="005C3A87">
        <w:rPr>
          <w:rFonts w:ascii="Times New Roman" w:hAnsi="Times New Roman" w:cs="Times New Roman"/>
          <w:sz w:val="28"/>
          <w:szCs w:val="28"/>
        </w:rPr>
        <w:t xml:space="preserve">Площа прямокутника </w:t>
      </w:r>
      <w:r w:rsidR="005C3A87">
        <w:rPr>
          <w:rFonts w:ascii="Times New Roman" w:hAnsi="Times New Roman" w:cs="Times New Roman"/>
          <w:position w:val="-12"/>
          <w:sz w:val="28"/>
          <w:szCs w:val="28"/>
        </w:rPr>
        <w:object w:dxaOrig="920" w:dyaOrig="360">
          <v:shape id="_x0000_i1032" type="#_x0000_t75" style="width:55.5pt;height:21.75pt" o:ole="">
            <v:imagedata r:id="rId28" o:title=""/>
          </v:shape>
          <o:OLEObject Type="Embed" ProgID="Equation.3" ShapeID="_x0000_i1032" DrawAspect="Content" ObjectID="_1458054425" r:id="rId29"/>
        </w:object>
      </w:r>
      <w:r w:rsidR="005C3A87">
        <w:rPr>
          <w:rFonts w:ascii="Times New Roman" w:hAnsi="Times New Roman" w:cs="Times New Roman"/>
          <w:sz w:val="28"/>
          <w:szCs w:val="28"/>
        </w:rPr>
        <w:t xml:space="preserve"> визначає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суму податкових надходжень</w:t>
      </w:r>
      <w:r w:rsidR="005C3A8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C3A87">
        <w:rPr>
          <w:rFonts w:ascii="Times New Roman" w:hAnsi="Times New Roman" w:cs="Times New Roman"/>
          <w:sz w:val="28"/>
          <w:szCs w:val="28"/>
        </w:rPr>
        <w:t xml:space="preserve">                            Параметри нової рівноваги після  вве</w:t>
      </w:r>
      <w:r w:rsidR="005C3A87">
        <w:rPr>
          <w:rFonts w:ascii="Times New Roman" w:hAnsi="Times New Roman" w:cs="Times New Roman"/>
          <w:sz w:val="28"/>
          <w:szCs w:val="28"/>
        </w:rPr>
        <w:softHyphen/>
        <w:t xml:space="preserve">дення  податку  також можуть бути визначені шляхом </w:t>
      </w:r>
      <w:r w:rsidR="005C3A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корекції рівняння пропонування</w:t>
      </w:r>
      <w:r w:rsidR="005C3A87">
        <w:rPr>
          <w:rFonts w:ascii="Times New Roman" w:hAnsi="Times New Roman" w:cs="Times New Roman"/>
          <w:sz w:val="28"/>
          <w:szCs w:val="28"/>
        </w:rPr>
        <w:t xml:space="preserve">:  </w:t>
      </w:r>
      <w:r w:rsidR="005C3A87">
        <w:rPr>
          <w:rFonts w:ascii="Times New Roman" w:hAnsi="Times New Roman" w:cs="Times New Roman"/>
          <w:position w:val="-12"/>
          <w:sz w:val="28"/>
          <w:szCs w:val="28"/>
        </w:rPr>
        <w:object w:dxaOrig="1980" w:dyaOrig="380">
          <v:shape id="_x0000_i1033" type="#_x0000_t75" style="width:120.75pt;height:23.25pt" o:ole="" fillcolor="window">
            <v:imagedata r:id="rId30" o:title=""/>
          </v:shape>
          <o:OLEObject Type="Embed" ProgID="Equation.3" ShapeID="_x0000_i1033" DrawAspect="Content" ObjectID="_1458054426" r:id="rId31"/>
        </w:object>
      </w:r>
      <w:r w:rsidR="005C3A8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3A87" w:rsidRDefault="005C3A87">
      <w:pPr>
        <w:snapToGri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 встановленням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відсоткового податку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крива пропонування також зміщується ліворуч, але не паралельно до попередньої. У цьому випадку змінюється і точка перетину кривої пропонування з відповідною віссю, і кут її  нахилу, оскільки має місце непропорційне зростання рів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нів цін для різних обсягів пропонування (рис.2.10). </w:t>
      </w:r>
    </w:p>
    <w:p w:rsidR="005C3A87" w:rsidRDefault="005C3A87">
      <w:pPr>
        <w:snapToGrid w:val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Як і у випадку податку як суми з одиниці товару,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ціна пропонування </w:t>
      </w:r>
      <w:r>
        <w:rPr>
          <w:rFonts w:ascii="Times New Roman" w:hAnsi="Times New Roman" w:cs="Times New Roman"/>
          <w:position w:val="-12"/>
          <w:sz w:val="28"/>
          <w:szCs w:val="28"/>
        </w:rPr>
        <w:object w:dxaOrig="279" w:dyaOrig="360">
          <v:shape id="_x0000_i1034" type="#_x0000_t75" style="width:13.5pt;height:18pt" o:ole="" fillcolor="window">
            <v:imagedata r:id="rId32" o:title=""/>
          </v:shape>
          <o:OLEObject Type="Embed" ProgID="Equation.3" ShapeID="_x0000_i1034" DrawAspect="Content" ObjectID="_1458054427" r:id="rId33"/>
        </w:object>
      </w:r>
      <w:r>
        <w:rPr>
          <w:rFonts w:ascii="Times New Roman" w:hAnsi="Times New Roman" w:cs="Times New Roman"/>
          <w:sz w:val="28"/>
          <w:szCs w:val="28"/>
        </w:rPr>
        <w:t xml:space="preserve"> відрізняється від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ціни попиту</w:t>
      </w:r>
      <w:r>
        <w:rPr>
          <w:rFonts w:ascii="Times New Roman" w:hAnsi="Times New Roman" w:cs="Times New Roman"/>
          <w:position w:val="-10"/>
          <w:sz w:val="28"/>
          <w:szCs w:val="28"/>
        </w:rPr>
        <w:object w:dxaOrig="300" w:dyaOrig="340">
          <v:shape id="_x0000_i1035" type="#_x0000_t75" style="width:17.25pt;height:19.5pt" o:ole="" fillcolor="window">
            <v:imagedata r:id="rId34" o:title=""/>
          </v:shape>
          <o:OLEObject Type="Embed" ProgID="Equation.3" ShapeID="_x0000_i1035" DrawAspect="Content" ObjectID="_1458054428" r:id="rId35"/>
        </w:object>
      </w:r>
      <w:r>
        <w:rPr>
          <w:rFonts w:ascii="Times New Roman" w:hAnsi="Times New Roman" w:cs="Times New Roman"/>
          <w:sz w:val="28"/>
          <w:szCs w:val="28"/>
        </w:rPr>
        <w:t xml:space="preserve">, але співвідношення між ними інше: </w:t>
      </w:r>
      <w:r>
        <w:rPr>
          <w:rFonts w:ascii="Times New Roman" w:hAnsi="Times New Roman" w:cs="Times New Roman"/>
          <w:i/>
          <w:iCs/>
          <w:sz w:val="28"/>
          <w:szCs w:val="28"/>
        </w:rPr>
        <w:t>P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 w:cs="Times New Roman"/>
          <w:i/>
          <w:iCs/>
          <w:sz w:val="28"/>
          <w:szCs w:val="28"/>
        </w:rPr>
        <w:t>=(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i/>
          <w:iCs/>
          <w:sz w:val="28"/>
          <w:szCs w:val="28"/>
        </w:rPr>
        <w:t>+t)·P</w:t>
      </w:r>
      <w:r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S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 </w:t>
      </w:r>
      <w:r>
        <w:rPr>
          <w:rFonts w:ascii="Times New Roman" w:hAnsi="Times New Roman" w:cs="Times New Roman"/>
          <w:sz w:val="28"/>
          <w:szCs w:val="28"/>
        </w:rPr>
        <w:t xml:space="preserve">де  </w:t>
      </w:r>
      <w:r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ставка податку. З врахуванням ставки податку рівняння кривої пропонування матиме вигляд:   </w:t>
      </w:r>
      <w:r>
        <w:rPr>
          <w:rFonts w:ascii="Times New Roman" w:hAnsi="Times New Roman" w:cs="Times New Roman"/>
          <w:position w:val="-12"/>
          <w:sz w:val="28"/>
          <w:szCs w:val="28"/>
        </w:rPr>
        <w:object w:dxaOrig="2120" w:dyaOrig="380">
          <v:shape id="_x0000_i1036" type="#_x0000_t75" style="width:120pt;height:21.75pt" o:ole="" fillcolor="window">
            <v:imagedata r:id="rId36" o:title=""/>
          </v:shape>
          <o:OLEObject Type="Embed" ProgID="Equation.3" ShapeID="_x0000_i1036" DrawAspect="Content" ObjectID="_1458054429" r:id="rId37"/>
        </w:object>
      </w: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5C3A87" w:rsidRDefault="005C3A87">
      <w:pPr>
        <w:pStyle w:val="21"/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t xml:space="preserve"> </w:t>
      </w:r>
    </w:p>
    <w:p w:rsidR="005C3A87" w:rsidRDefault="005C3A87">
      <w:bookmarkStart w:id="0" w:name="_GoBack"/>
      <w:bookmarkEnd w:id="0"/>
    </w:p>
    <w:sectPr w:rsidR="005C3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5C3F0E"/>
    <w:multiLevelType w:val="hybridMultilevel"/>
    <w:tmpl w:val="88409AA8"/>
    <w:lvl w:ilvl="0" w:tplc="3D287866">
      <w:start w:val="1"/>
      <w:numFmt w:val="bullet"/>
      <w:lvlText w:val="•"/>
      <w:lvlJc w:val="left"/>
      <w:pPr>
        <w:tabs>
          <w:tab w:val="num" w:pos="1855"/>
        </w:tabs>
        <w:ind w:left="185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">
    <w:nsid w:val="577A1F65"/>
    <w:multiLevelType w:val="hybridMultilevel"/>
    <w:tmpl w:val="6024C1AE"/>
    <w:lvl w:ilvl="0" w:tplc="3D287866">
      <w:start w:val="1"/>
      <w:numFmt w:val="bullet"/>
      <w:lvlText w:val="•"/>
      <w:lvlJc w:val="left"/>
      <w:pPr>
        <w:tabs>
          <w:tab w:val="num" w:pos="1855"/>
        </w:tabs>
        <w:ind w:left="185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7FA6"/>
    <w:rsid w:val="000354BB"/>
    <w:rsid w:val="005C3A87"/>
    <w:rsid w:val="00777FA6"/>
    <w:rsid w:val="00A8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5"/>
    <o:shapelayout v:ext="edit">
      <o:idmap v:ext="edit" data="1"/>
    </o:shapelayout>
  </w:shapeDefaults>
  <w:decimalSymbol w:val=","/>
  <w:listSeparator w:val=";"/>
  <w14:defaultImageDpi w14:val="0"/>
  <w15:chartTrackingRefBased/>
  <w15:docId w15:val="{BCD82CA3-A651-43A6-A90B-3B2DACF5F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Courier New" w:hAnsi="Courier New" w:cs="Courier New"/>
      <w:sz w:val="24"/>
      <w:szCs w:val="24"/>
      <w:lang w:val="uk-UA"/>
    </w:rPr>
  </w:style>
  <w:style w:type="paragraph" w:styleId="2">
    <w:name w:val="heading 2"/>
    <w:basedOn w:val="a"/>
    <w:next w:val="a"/>
    <w:link w:val="20"/>
    <w:uiPriority w:val="99"/>
    <w:qFormat/>
    <w:pPr>
      <w:keepNext/>
      <w:ind w:firstLine="17"/>
      <w:jc w:val="center"/>
      <w:outlineLvl w:val="1"/>
    </w:pPr>
    <w:rPr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line="360" w:lineRule="auto"/>
      <w:ind w:firstLine="284"/>
      <w:jc w:val="both"/>
      <w:outlineLvl w:val="2"/>
    </w:pPr>
    <w:rPr>
      <w:rFonts w:ascii="Times New Roman" w:hAnsi="Times New Roman" w:cs="Times New Roman"/>
      <w:b/>
      <w:bCs/>
      <w:i/>
      <w:iCs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pPr>
      <w:keepNext/>
      <w:outlineLvl w:val="3"/>
    </w:pPr>
    <w:rPr>
      <w:rFonts w:ascii="Times New Roman" w:hAnsi="Times New Roman" w:cs="Times New Roman"/>
      <w:b/>
      <w:bCs/>
      <w:i/>
      <w:iCs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pPr>
      <w:spacing w:before="240" w:after="60"/>
      <w:outlineLvl w:val="6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uk-UA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  <w:lang w:val="uk-UA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  <w:lang w:val="uk-UA"/>
    </w:rPr>
  </w:style>
  <w:style w:type="character" w:customStyle="1" w:styleId="70">
    <w:name w:val="Заголовок 7 Знак"/>
    <w:link w:val="7"/>
    <w:uiPriority w:val="9"/>
    <w:semiHidden/>
    <w:rPr>
      <w:sz w:val="24"/>
      <w:szCs w:val="24"/>
      <w:lang w:val="uk-UA"/>
    </w:rPr>
  </w:style>
  <w:style w:type="paragraph" w:styleId="21">
    <w:name w:val="Body Text 2"/>
    <w:basedOn w:val="a"/>
    <w:link w:val="22"/>
    <w:uiPriority w:val="99"/>
    <w:pPr>
      <w:spacing w:line="360" w:lineRule="auto"/>
      <w:ind w:firstLine="567"/>
      <w:jc w:val="both"/>
    </w:pPr>
    <w:rPr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rPr>
      <w:rFonts w:ascii="Courier New" w:hAnsi="Courier New" w:cs="Courier New"/>
      <w:sz w:val="24"/>
      <w:szCs w:val="24"/>
      <w:lang w:val="uk-UA"/>
    </w:rPr>
  </w:style>
  <w:style w:type="paragraph" w:styleId="23">
    <w:name w:val="Body Text Indent 2"/>
    <w:basedOn w:val="a"/>
    <w:link w:val="24"/>
    <w:uiPriority w:val="99"/>
    <w:pPr>
      <w:spacing w:line="360" w:lineRule="auto"/>
      <w:ind w:firstLine="567"/>
    </w:pPr>
    <w:rPr>
      <w:rFonts w:ascii="Times New Roman" w:hAnsi="Times New Roman" w:cs="Times New Roman"/>
      <w:sz w:val="20"/>
      <w:szCs w:val="20"/>
    </w:rPr>
  </w:style>
  <w:style w:type="character" w:customStyle="1" w:styleId="24">
    <w:name w:val="Основной текст с отступом 2 Знак"/>
    <w:link w:val="23"/>
    <w:uiPriority w:val="99"/>
    <w:semiHidden/>
    <w:rPr>
      <w:rFonts w:ascii="Courier New" w:hAnsi="Courier New" w:cs="Courier New"/>
      <w:sz w:val="24"/>
      <w:szCs w:val="24"/>
      <w:lang w:val="uk-UA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link w:val="a3"/>
    <w:uiPriority w:val="99"/>
    <w:semiHidden/>
    <w:rPr>
      <w:rFonts w:ascii="Courier New" w:hAnsi="Courier New" w:cs="Courier New"/>
      <w:sz w:val="24"/>
      <w:szCs w:val="24"/>
      <w:lang w:val="uk-UA"/>
    </w:rPr>
  </w:style>
  <w:style w:type="paragraph" w:styleId="a5">
    <w:name w:val="Body Text"/>
    <w:basedOn w:val="a"/>
    <w:link w:val="a6"/>
    <w:uiPriority w:val="99"/>
    <w:rPr>
      <w:sz w:val="20"/>
      <w:szCs w:val="20"/>
    </w:rPr>
  </w:style>
  <w:style w:type="character" w:customStyle="1" w:styleId="a6">
    <w:name w:val="Основной текст Знак"/>
    <w:link w:val="a5"/>
    <w:uiPriority w:val="99"/>
    <w:semiHidden/>
    <w:rPr>
      <w:rFonts w:ascii="Courier New" w:hAnsi="Courier New" w:cs="Courier New"/>
      <w:sz w:val="24"/>
      <w:szCs w:val="24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7.bin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wmf"/><Relationship Id="rId34" Type="http://schemas.openxmlformats.org/officeDocument/2006/relationships/image" Target="media/image20.wmf"/><Relationship Id="rId7" Type="http://schemas.openxmlformats.org/officeDocument/2006/relationships/image" Target="media/image3.png"/><Relationship Id="rId12" Type="http://schemas.openxmlformats.org/officeDocument/2006/relationships/image" Target="media/image7.wmf"/><Relationship Id="rId17" Type="http://schemas.openxmlformats.org/officeDocument/2006/relationships/image" Target="media/image11.wmf"/><Relationship Id="rId25" Type="http://schemas.openxmlformats.org/officeDocument/2006/relationships/image" Target="media/image15.wmf"/><Relationship Id="rId33" Type="http://schemas.openxmlformats.org/officeDocument/2006/relationships/oleObject" Target="embeddings/oleObject10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oleObject" Target="embeddings/oleObject4.bin"/><Relationship Id="rId29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oleObject" Target="embeddings/oleObject6.bin"/><Relationship Id="rId32" Type="http://schemas.openxmlformats.org/officeDocument/2006/relationships/image" Target="media/image19.wmf"/><Relationship Id="rId37" Type="http://schemas.openxmlformats.org/officeDocument/2006/relationships/oleObject" Target="embeddings/oleObject12.bin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23" Type="http://schemas.openxmlformats.org/officeDocument/2006/relationships/image" Target="media/image14.wmf"/><Relationship Id="rId28" Type="http://schemas.openxmlformats.org/officeDocument/2006/relationships/image" Target="media/image17.wmf"/><Relationship Id="rId36" Type="http://schemas.openxmlformats.org/officeDocument/2006/relationships/image" Target="media/image21.wmf"/><Relationship Id="rId10" Type="http://schemas.openxmlformats.org/officeDocument/2006/relationships/image" Target="media/image5.png"/><Relationship Id="rId19" Type="http://schemas.openxmlformats.org/officeDocument/2006/relationships/image" Target="media/image12.wmf"/><Relationship Id="rId31" Type="http://schemas.openxmlformats.org/officeDocument/2006/relationships/oleObject" Target="embeddings/oleObject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8.png"/><Relationship Id="rId22" Type="http://schemas.openxmlformats.org/officeDocument/2006/relationships/oleObject" Target="embeddings/oleObject5.bin"/><Relationship Id="rId27" Type="http://schemas.openxmlformats.org/officeDocument/2006/relationships/image" Target="media/image16.png"/><Relationship Id="rId30" Type="http://schemas.openxmlformats.org/officeDocument/2006/relationships/image" Target="media/image18.wmf"/><Relationship Id="rId35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1867</Words>
  <Characters>10642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ПОПИТ, ПРОПОНУВАННЯ, ЦІНА</vt:lpstr>
    </vt:vector>
  </TitlesOfParts>
  <Company>Дом</Company>
  <LinksUpToDate>false</LinksUpToDate>
  <CharactersWithSpaces>12485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ПОПИТ, ПРОПОНУВАННЯ, ЦІНА</dc:title>
  <dc:subject/>
  <dc:creator>Павел</dc:creator>
  <cp:keywords/>
  <dc:description/>
  <cp:lastModifiedBy>admin</cp:lastModifiedBy>
  <cp:revision>2</cp:revision>
  <dcterms:created xsi:type="dcterms:W3CDTF">2014-04-03T15:20:00Z</dcterms:created>
  <dcterms:modified xsi:type="dcterms:W3CDTF">2014-04-03T15:20:00Z</dcterms:modified>
</cp:coreProperties>
</file>