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4D" w:rsidRPr="00A50A71" w:rsidRDefault="00B51D4D" w:rsidP="00A50A71">
      <w:pPr>
        <w:pStyle w:val="2"/>
        <w:ind w:firstLine="709"/>
        <w:jc w:val="center"/>
        <w:rPr>
          <w:szCs w:val="28"/>
          <w:lang w:val="ru-RU"/>
        </w:rPr>
      </w:pPr>
      <w:r w:rsidRPr="00A50A71">
        <w:rPr>
          <w:szCs w:val="28"/>
          <w:lang w:val="ru-RU"/>
        </w:rPr>
        <w:t>Министерство образования и науки Украины</w:t>
      </w:r>
    </w:p>
    <w:p w:rsidR="00B51D4D" w:rsidRPr="00A50A71" w:rsidRDefault="00B51D4D" w:rsidP="00A50A71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Открытый международный университет развития человека “Украина”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51D4D" w:rsidRPr="00A50A71" w:rsidRDefault="00B51D4D" w:rsidP="00A50A7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50A71">
        <w:rPr>
          <w:rFonts w:ascii="Times New Roman" w:hAnsi="Times New Roman"/>
          <w:b/>
          <w:sz w:val="28"/>
          <w:szCs w:val="28"/>
        </w:rPr>
        <w:t>РЕФЕРАТ</w:t>
      </w:r>
    </w:p>
    <w:p w:rsidR="00B51D4D" w:rsidRPr="00A50A71" w:rsidRDefault="00B51D4D" w:rsidP="00A50A7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50A71">
        <w:rPr>
          <w:rFonts w:ascii="Times New Roman" w:hAnsi="Times New Roman"/>
          <w:b/>
          <w:sz w:val="28"/>
          <w:szCs w:val="28"/>
        </w:rPr>
        <w:t>по дисциплине: Спортивная морфология</w:t>
      </w:r>
    </w:p>
    <w:p w:rsidR="00B51D4D" w:rsidRPr="00A50A71" w:rsidRDefault="00A50A71" w:rsidP="00A50A71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50A71">
        <w:rPr>
          <w:rFonts w:ascii="Times New Roman" w:hAnsi="Times New Roman"/>
          <w:b/>
          <w:sz w:val="28"/>
          <w:szCs w:val="28"/>
        </w:rPr>
        <w:t>Тема:</w:t>
      </w:r>
    </w:p>
    <w:p w:rsidR="00B51D4D" w:rsidRPr="00A50A71" w:rsidRDefault="00A50A71" w:rsidP="00A50A7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50A71">
        <w:rPr>
          <w:rFonts w:ascii="Times New Roman" w:hAnsi="Times New Roman"/>
          <w:b/>
          <w:sz w:val="28"/>
          <w:szCs w:val="28"/>
        </w:rPr>
        <w:t>Пропорции тела у спортсменов</w:t>
      </w:r>
    </w:p>
    <w:p w:rsidR="002B726E" w:rsidRPr="00A50A71" w:rsidRDefault="002B726E" w:rsidP="00A50A7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B726E" w:rsidRPr="00A50A71" w:rsidRDefault="002B726E" w:rsidP="00A50A7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Выполнил: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студент 3-го курса группы ФР-05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дневного отделения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факультета “Физическая реабилитация”</w:t>
      </w:r>
    </w:p>
    <w:p w:rsidR="00B51D4D" w:rsidRPr="00A50A71" w:rsidRDefault="002B726E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Андрущак Артём Анлреевич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726E" w:rsidRPr="00A50A71" w:rsidRDefault="002B726E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726E" w:rsidRPr="00A50A71" w:rsidRDefault="002B726E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726E" w:rsidRPr="00A50A71" w:rsidRDefault="002B726E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51D4D" w:rsidRPr="00A50A71" w:rsidRDefault="00B51D4D" w:rsidP="00A50A71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2008</w:t>
      </w:r>
    </w:p>
    <w:p w:rsidR="00B51D4D" w:rsidRPr="00A50A71" w:rsidRDefault="00A50A71" w:rsidP="00A50A7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2B726E" w:rsidRPr="00A50A71">
        <w:rPr>
          <w:rFonts w:ascii="Times New Roman" w:hAnsi="Times New Roman"/>
          <w:b/>
          <w:sz w:val="28"/>
          <w:szCs w:val="28"/>
        </w:rPr>
        <w:t>План</w:t>
      </w:r>
    </w:p>
    <w:p w:rsidR="002B726E" w:rsidRPr="00A50A71" w:rsidRDefault="002B726E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51D4D" w:rsidRPr="00A50A71" w:rsidRDefault="00B51D4D" w:rsidP="00A50A71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Общие положения.</w:t>
      </w:r>
    </w:p>
    <w:p w:rsidR="00B51D4D" w:rsidRPr="00A50A71" w:rsidRDefault="00B51D4D" w:rsidP="00A50A71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Пропорции тела у спортсменов различных специализаций.</w:t>
      </w:r>
    </w:p>
    <w:p w:rsidR="002B726E" w:rsidRPr="00A50A71" w:rsidRDefault="002B726E" w:rsidP="00A50A71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B51D4D" w:rsidRPr="00A50A71" w:rsidRDefault="00A50A71" w:rsidP="007351D9">
      <w:pPr>
        <w:pStyle w:val="a3"/>
        <w:spacing w:after="0" w:line="36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A50A71">
        <w:rPr>
          <w:rFonts w:ascii="Times New Roman" w:hAnsi="Times New Roman"/>
          <w:b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Общие положения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b/>
          <w:i/>
          <w:sz w:val="28"/>
          <w:szCs w:val="28"/>
        </w:rPr>
        <w:t>Определение понятия «пропорции тела».</w:t>
      </w:r>
      <w:r w:rsidRPr="00A50A71">
        <w:rPr>
          <w:rFonts w:ascii="Times New Roman" w:hAnsi="Times New Roman"/>
          <w:b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 xml:space="preserve">Под пропорциями человеческого тела понимают соотношения его размеров: продольных, поперечных, </w:t>
      </w:r>
      <w:r w:rsidR="0023181A" w:rsidRPr="00A50A71">
        <w:rPr>
          <w:rFonts w:ascii="Times New Roman" w:hAnsi="Times New Roman"/>
          <w:sz w:val="28"/>
          <w:szCs w:val="28"/>
        </w:rPr>
        <w:t>переднезадних</w:t>
      </w:r>
      <w:r w:rsidRPr="00A50A71">
        <w:rPr>
          <w:rFonts w:ascii="Times New Roman" w:hAnsi="Times New Roman"/>
          <w:sz w:val="28"/>
          <w:szCs w:val="28"/>
        </w:rPr>
        <w:t>, а также соотношения окружностей. При изучении строения тела, естественно, возникает мысль о пропорциональности, соразмеримости отдельных его частей. Несмотря на исключительно большое разнообразие индивидуальных особенностей, всегда имеются наиболее типичные черты его строения. Например, нижние конечности всегда длиннее верхних, плечо длиннее предплечья, бедро длиннее голени и т.п. Знание типичных соотношений между отдельными частями тела имеет значение в различных областях человеческой деятельности. Тренеру и спортсмену это позволяет судить о гармоничности развития человека в процессе занятий спортом, а также использовать особенности пропорций тела при индивидуализации тренировки и отборе в спортивные секции.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Для суждения о пропорциях тела спортсмена обычно используются материалы, получаемые в результате антропометрического обследования в основном с помощью таких инструментов, как антропометр, сантиметровая лента, различные циркули.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b/>
          <w:sz w:val="28"/>
          <w:szCs w:val="28"/>
        </w:rPr>
        <w:t>Модули и каноны.</w:t>
      </w:r>
      <w:r w:rsidRPr="00A50A71">
        <w:rPr>
          <w:rFonts w:ascii="Times New Roman" w:hAnsi="Times New Roman"/>
          <w:sz w:val="28"/>
          <w:szCs w:val="28"/>
        </w:rPr>
        <w:t xml:space="preserve"> За основу определения пропорций тела берут какой-либо модуль, с помощью которого устанавливается конкретный канон пропорций тела. Под </w:t>
      </w:r>
      <w:r w:rsidRPr="00A50A71">
        <w:rPr>
          <w:rFonts w:ascii="Times New Roman" w:hAnsi="Times New Roman"/>
          <w:i/>
          <w:sz w:val="28"/>
          <w:szCs w:val="28"/>
        </w:rPr>
        <w:t>модулем</w:t>
      </w:r>
      <w:r w:rsidRPr="00A50A71">
        <w:rPr>
          <w:rFonts w:ascii="Times New Roman" w:hAnsi="Times New Roman"/>
          <w:sz w:val="28"/>
          <w:szCs w:val="28"/>
        </w:rPr>
        <w:t xml:space="preserve"> подразумевается размер той или иной части тела данного человека, принимаемый за единицу меры, с помощью которой можно выразить размеры любой другой части тела. </w:t>
      </w:r>
      <w:r w:rsidRPr="00A50A71">
        <w:rPr>
          <w:rFonts w:ascii="Times New Roman" w:hAnsi="Times New Roman"/>
          <w:i/>
          <w:sz w:val="28"/>
          <w:szCs w:val="28"/>
        </w:rPr>
        <w:t>Канон</w:t>
      </w:r>
      <w:r w:rsidRPr="00A50A71">
        <w:rPr>
          <w:rFonts w:ascii="Times New Roman" w:hAnsi="Times New Roman"/>
          <w:sz w:val="28"/>
          <w:szCs w:val="28"/>
        </w:rPr>
        <w:t xml:space="preserve"> – это правило для создания идеальной фигуры человека, в которой все размеры тела находятся в определённых соотношениях с единицей измерения (модулем).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Учение о пропорциях тела начало складываться в глубокой древности и привлекало к себе внимание антропологов, врачей, художников и скульпторов. Их интересовало, какую фигуру следует считать нормальной, или пропорциональной, в которой все части тела имели бы наибольшую гармонию. Для выяснения данного вопроса и были предложены модули и каноны.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Представление о красоте и совершенстве в искусстве менялось в различные исторические эпохи и обусловливалось идеологией художников и скульпторов, отражающих в своих произведениях мировоззрение своего народа, эпохи и класса.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Скульпторы Древнего Египта брали за единицу (модуль) измерения длину среднего пальца левой кисти, которая по канону укладывалась 19 раз в длине тела, высота стопы равнялась одному модулю, пупок располагался на одиннадцатом делении снизу, сосок грудной железы – между четырнадцатым и пятнадцатым делениями и т.д.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 xml:space="preserve">В Древней Греции наибольшей популярностью пользовался </w:t>
      </w:r>
      <w:r w:rsidR="00A50A71">
        <w:rPr>
          <w:rFonts w:ascii="Times New Roman" w:hAnsi="Times New Roman"/>
          <w:sz w:val="28"/>
          <w:szCs w:val="28"/>
        </w:rPr>
        <w:t>канон Поликлета (5 век до н.э.),</w:t>
      </w:r>
      <w:r w:rsidRPr="00A50A71">
        <w:rPr>
          <w:rFonts w:ascii="Times New Roman" w:hAnsi="Times New Roman"/>
          <w:sz w:val="28"/>
          <w:szCs w:val="28"/>
        </w:rPr>
        <w:t xml:space="preserve"> по</w:t>
      </w:r>
      <w:r w:rsidR="00A50A71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>этому канону голова составляет 1/8, лицо – 1/10, а голова и шея – 1/6 длины тела. Был распространён и так называемый квадрат древних, по которому длина распростёртых рук равна длине тела человека. Леонардо да Винчи (1452-1519 гг.) несколько изменил этот канон. Он считал, что фигура с поднятыми в стороны-вверх руками и разведёнными ногами вписывается в круг, центром которого является пупок.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Наибольшей популярностью пользовались канон Леонардо да Винчи, считавшего модулем голову, и канон Фрича, который за исходную величину принимал длину позвоночного столба (расстояние от подносовой точки до лобковой). Фрич отмечал, что длина позвоночного столба в 2,5 раза меньше длины тела, а голова и позвоночный столб вместе составляют половину длины тела.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Определённый интерес представляют исследования пропорций тела человека отечественного анатома П.И. Карузина (1921).Тщательное изучение трудов предшественников, многолетний педагогический опыт позволили П.И. Карузину критически переработать, расширить и углубить современные знания о пропорциях тела. Он исправил и дополнил канон Фрича размерами длины стопы, внёс исправления в размеры ширины плеч и бёдер, головы, лица и др. Человеческая фигура, построенная по канону П.И. Карузина, значительно ближе к живому человеку. П.И. Карузин внёс много ценного в вопрос об изменениях пропорций тела в связи с возрастом и полом. Основной его труд «Руководство по пластической анатомии» и в настоящее время является настольной книгой не только для художника и скульптора, но и для анатома.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Каноны являются лишь основной схемой, которая не может предусмотреть всех вариантов изменчивости, однако, по замыслу их авторов, должны восприниматься как некий совершенный тип строания человеческого тела.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Современные представления о пропорциях тела здорового человека основываются на точных знаниях анатомии. Считается, сто длина тела зависит преимущественно от длины нижних конечностей. При среднем росте взрослого человека 165-</w:t>
      </w:r>
      <w:smartTag w:uri="urn:schemas-microsoft-com:office:smarttags" w:element="metricconverter">
        <w:smartTagPr>
          <w:attr w:name="ProductID" w:val="170 см"/>
        </w:smartTagPr>
        <w:r w:rsidRPr="00A50A71">
          <w:rPr>
            <w:rFonts w:ascii="Times New Roman" w:hAnsi="Times New Roman"/>
            <w:sz w:val="28"/>
            <w:szCs w:val="28"/>
          </w:rPr>
          <w:t>170 см</w:t>
        </w:r>
      </w:smartTag>
      <w:r w:rsidRPr="00A50A71">
        <w:rPr>
          <w:rFonts w:ascii="Times New Roman" w:hAnsi="Times New Roman"/>
          <w:sz w:val="28"/>
          <w:szCs w:val="28"/>
        </w:rPr>
        <w:t xml:space="preserve"> длина позвоночного столба составляет в среднем 40%, у высокорослых людей позвоночный столб относительно короче, а у низкорослых относительно длиннее. Ширина плеч всегда больше ширины таза и составляет 1/4 часть длины тела и равна длине бедра. Кончик среднего пальца опущенной верхней конечности доходит до середины бедра (у высокорослых людей несколько выше, у низкорослых – ниже). Длина верхней конечности равна длине позвоночника, длина ключицы – длине грудины. Длина плеча относится к длине предплечья как 3:4. Длина кисти составляет</w:t>
      </w:r>
      <w:r w:rsidR="007351D9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 xml:space="preserve">1/4 часть верхней конечности, длина среднего пальца – 1/2 длины кисти. Проксимальная, средняя и дистальная фаланги относятся друг к другу как 5:3:2. Окружность </w:t>
      </w:r>
      <w:r w:rsidR="0023181A" w:rsidRPr="00A50A71">
        <w:rPr>
          <w:rFonts w:ascii="Times New Roman" w:hAnsi="Times New Roman"/>
          <w:sz w:val="28"/>
          <w:szCs w:val="28"/>
        </w:rPr>
        <w:t>лучезапястного</w:t>
      </w:r>
      <w:r w:rsidRPr="00A50A71">
        <w:rPr>
          <w:rFonts w:ascii="Times New Roman" w:hAnsi="Times New Roman"/>
          <w:sz w:val="28"/>
          <w:szCs w:val="28"/>
        </w:rPr>
        <w:t xml:space="preserve"> сустава соответствует длине кисти. Ширина кисти равна длине её среднего пальца. Удвоенная окружность запястья равна окружности шеи, а удвоенная окружность шеи – окружности талии. Длина нижней конечности от наиболее выступающей точки большого вертела до подошвы составляет 53% длины тела, длина бедра – 1/4 длины тела и равна голени вместе с высотой стопы. Положение коленного сустава соответствует половине длины нижней конечности, голень короче бедра на высоту стопы. Длина стопы относится к длине кисти как 4:3 и равна окружности кисти, сжатой в кулак, на уровне головок пястных костей.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Размеры головы чаще, чем размеры других частей тела, использовались в качестве модуля для определения канона, что вполне обосновано, так как индивидуальные колебания высоты головы (22-</w:t>
      </w:r>
      <w:smartTag w:uri="urn:schemas-microsoft-com:office:smarttags" w:element="metricconverter">
        <w:smartTagPr>
          <w:attr w:name="ProductID" w:val="23 см"/>
        </w:smartTagPr>
        <w:r w:rsidRPr="00A50A71">
          <w:rPr>
            <w:rFonts w:ascii="Times New Roman" w:hAnsi="Times New Roman"/>
            <w:sz w:val="28"/>
            <w:szCs w:val="28"/>
          </w:rPr>
          <w:t>23 см</w:t>
        </w:r>
      </w:smartTag>
      <w:r w:rsidRPr="00A50A71">
        <w:rPr>
          <w:rFonts w:ascii="Times New Roman" w:hAnsi="Times New Roman"/>
          <w:sz w:val="28"/>
          <w:szCs w:val="28"/>
        </w:rPr>
        <w:t xml:space="preserve">) невелики. Большинство авторов считает, что высота головы составляет 1/8 длины тела. Однако это соотношение свойственно лишь людям, рост (длина) тела которых выше </w:t>
      </w:r>
      <w:smartTag w:uri="urn:schemas-microsoft-com:office:smarttags" w:element="metricconverter">
        <w:smartTagPr>
          <w:attr w:name="ProductID" w:val="180 см"/>
        </w:smartTagPr>
        <w:r w:rsidRPr="00A50A71">
          <w:rPr>
            <w:rFonts w:ascii="Times New Roman" w:hAnsi="Times New Roman"/>
            <w:sz w:val="28"/>
            <w:szCs w:val="28"/>
          </w:rPr>
          <w:t>180 см</w:t>
        </w:r>
      </w:smartTag>
      <w:r w:rsidRPr="00A50A71">
        <w:rPr>
          <w:rFonts w:ascii="Times New Roman" w:hAnsi="Times New Roman"/>
          <w:sz w:val="28"/>
          <w:szCs w:val="28"/>
        </w:rPr>
        <w:t xml:space="preserve">. При росте </w:t>
      </w:r>
      <w:smartTag w:uri="urn:schemas-microsoft-com:office:smarttags" w:element="metricconverter">
        <w:smartTagPr>
          <w:attr w:name="ProductID" w:val="175 см"/>
        </w:smartTagPr>
        <w:r w:rsidRPr="00A50A71">
          <w:rPr>
            <w:rFonts w:ascii="Times New Roman" w:hAnsi="Times New Roman"/>
            <w:sz w:val="28"/>
            <w:szCs w:val="28"/>
          </w:rPr>
          <w:t>175 см</w:t>
        </w:r>
      </w:smartTag>
      <w:r w:rsidRPr="00A50A71">
        <w:rPr>
          <w:rFonts w:ascii="Times New Roman" w:hAnsi="Times New Roman"/>
          <w:sz w:val="28"/>
          <w:szCs w:val="28"/>
        </w:rPr>
        <w:t xml:space="preserve"> голова укладывается в длине тела 7 ¾</w:t>
      </w:r>
      <w:r w:rsidR="007351D9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 xml:space="preserve">раза, при росте </w:t>
      </w:r>
      <w:smartTag w:uri="urn:schemas-microsoft-com:office:smarttags" w:element="metricconverter">
        <w:smartTagPr>
          <w:attr w:name="ProductID" w:val="170 см"/>
        </w:smartTagPr>
        <w:r w:rsidRPr="00A50A71">
          <w:rPr>
            <w:rFonts w:ascii="Times New Roman" w:hAnsi="Times New Roman"/>
            <w:sz w:val="28"/>
            <w:szCs w:val="28"/>
          </w:rPr>
          <w:t>170 см</w:t>
        </w:r>
      </w:smartTag>
      <w:r w:rsidRPr="00A50A71">
        <w:rPr>
          <w:rFonts w:ascii="Times New Roman" w:hAnsi="Times New Roman"/>
          <w:sz w:val="28"/>
          <w:szCs w:val="28"/>
        </w:rPr>
        <w:t xml:space="preserve"> – 7 ½</w:t>
      </w:r>
      <w:r w:rsidR="007351D9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 xml:space="preserve">раза, при росте </w:t>
      </w:r>
      <w:smartTag w:uri="urn:schemas-microsoft-com:office:smarttags" w:element="metricconverter">
        <w:smartTagPr>
          <w:attr w:name="ProductID" w:val="165 см"/>
        </w:smartTagPr>
        <w:r w:rsidRPr="00A50A71">
          <w:rPr>
            <w:rFonts w:ascii="Times New Roman" w:hAnsi="Times New Roman"/>
            <w:sz w:val="28"/>
            <w:szCs w:val="28"/>
          </w:rPr>
          <w:t>165 см</w:t>
        </w:r>
      </w:smartTag>
      <w:r w:rsidRPr="00A50A71">
        <w:rPr>
          <w:rFonts w:ascii="Times New Roman" w:hAnsi="Times New Roman"/>
          <w:sz w:val="28"/>
          <w:szCs w:val="28"/>
        </w:rPr>
        <w:t xml:space="preserve"> – 7 раз, т.е. высота головы по сравнению с ростом тела тем меньше, чем выше рост.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Половые особенности в пропорциях тела весьма значительны. Женщинам свойственны меньшая длина тела, более короткие конечности, более широкий таз, узкие плечи, меньшие размеры кисти и стопы. Однако ширина плеч больше ширины бёдер. Верхний отдел грудной клетки у женщин уже, чем у мужчин.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Возрастные особенности в пропорциях тела особенно велики в связи с неравномерным развитием в течение жизни отдельных частей тела. Так, голова увеличивается за весь период после рождения человека только в 2 раза, туловище – в 3 раза, верхние конечности – в 4 раза, нижние конечности – в 5 раз, а шея – в 7 раз. По П.И. Карузину, голова 2-месячного зародыша укладывается в длине тела 2 раза, у новорождённого – 4 раза, у ребёнка 5 лет – 5 раз, в 7-летнем возрасте – 6 раз, а в 14-летнем – 7 раз.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b/>
          <w:i/>
          <w:sz w:val="28"/>
          <w:szCs w:val="28"/>
        </w:rPr>
        <w:t xml:space="preserve">Способы оценки пропорций тела. </w:t>
      </w:r>
      <w:r w:rsidRPr="00A50A71">
        <w:rPr>
          <w:rFonts w:ascii="Times New Roman" w:hAnsi="Times New Roman"/>
          <w:sz w:val="28"/>
          <w:szCs w:val="28"/>
        </w:rPr>
        <w:t>Так как пропорции тела обозначают соотношение размеров отдельных его частей, то, естественно, для их характеристики имеют значение не абсолютные, а относительные размеры. Наиболее старый и распространённый метод установления соотношения размеров тела – метод индексов, который состоит в том, что один размер (меньший) определяется в процентных долях другого (обычно большего) размера.</w:t>
      </w:r>
    </w:p>
    <w:p w:rsidR="00B51D4D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Наиболее известным индексом является так называемый индекс скелии (ИС) по Мануврие:</w:t>
      </w:r>
    </w:p>
    <w:p w:rsidR="00A50A71" w:rsidRP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50A71">
        <w:rPr>
          <w:rFonts w:ascii="Times New Roman" w:hAnsi="Times New Roman"/>
          <w:b/>
          <w:sz w:val="28"/>
          <w:szCs w:val="28"/>
        </w:rPr>
        <w:t xml:space="preserve">ИС = </w:t>
      </w:r>
      <w:r w:rsidRPr="00A50A71">
        <w:rPr>
          <w:rFonts w:ascii="Times New Roman" w:hAnsi="Times New Roman"/>
          <w:b/>
          <w:sz w:val="28"/>
          <w:szCs w:val="28"/>
        </w:rPr>
        <w:fldChar w:fldCharType="begin"/>
      </w:r>
      <w:r w:rsidRPr="00A50A71">
        <w:rPr>
          <w:rFonts w:ascii="Times New Roman" w:hAnsi="Times New Roman"/>
          <w:b/>
          <w:sz w:val="28"/>
          <w:szCs w:val="28"/>
        </w:rPr>
        <w:instrText xml:space="preserve"> QUOTE </w:instrText>
      </w:r>
      <w:r w:rsidR="00503FA1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75pt;height:25.5pt">
            <v:imagedata r:id="rId7" o:title="" chromakey="white"/>
          </v:shape>
        </w:pict>
      </w:r>
      <w:r w:rsidRPr="00A50A71">
        <w:rPr>
          <w:rFonts w:ascii="Times New Roman" w:hAnsi="Times New Roman"/>
          <w:b/>
          <w:sz w:val="28"/>
          <w:szCs w:val="28"/>
        </w:rPr>
        <w:instrText xml:space="preserve"> </w:instrText>
      </w:r>
      <w:r w:rsidRPr="00A50A71">
        <w:rPr>
          <w:rFonts w:ascii="Times New Roman" w:hAnsi="Times New Roman"/>
          <w:b/>
          <w:sz w:val="28"/>
          <w:szCs w:val="28"/>
        </w:rPr>
        <w:fldChar w:fldCharType="separate"/>
      </w:r>
      <w:r w:rsidR="00503FA1">
        <w:rPr>
          <w:rFonts w:ascii="Times New Roman" w:hAnsi="Times New Roman"/>
          <w:sz w:val="28"/>
          <w:szCs w:val="28"/>
        </w:rPr>
        <w:pict>
          <v:shape id="_x0000_i1026" type="#_x0000_t75" style="width:69.75pt;height:25.5pt">
            <v:imagedata r:id="rId7" o:title="" chromakey="white"/>
          </v:shape>
        </w:pict>
      </w:r>
      <w:r w:rsidRPr="00A50A71">
        <w:rPr>
          <w:rFonts w:ascii="Times New Roman" w:hAnsi="Times New Roman"/>
          <w:b/>
          <w:sz w:val="28"/>
          <w:szCs w:val="28"/>
        </w:rPr>
        <w:fldChar w:fldCharType="end"/>
      </w:r>
      <w:r w:rsidRPr="00A50A71">
        <w:rPr>
          <w:rFonts w:ascii="Times New Roman" w:hAnsi="Times New Roman"/>
          <w:b/>
          <w:sz w:val="28"/>
          <w:szCs w:val="28"/>
        </w:rPr>
        <w:t xml:space="preserve"> × 100.</w:t>
      </w:r>
    </w:p>
    <w:p w:rsidR="00A50A71" w:rsidRDefault="00A50A71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По этому индексу принята следующая классификация: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до 84,9 – брахискелия (коротконогость),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85,0 – 89,9 – мезоскелия (средненогость),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90,0 и выше – макроскелия (длинногость).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Широко распространённым методом характеристики пропорций тела является вычисление процентного отношения продольных и поперечных размеров тела к его длине. По соотношению этих размеров обычно выделяют три основных типа пропорций тела:</w:t>
      </w:r>
    </w:p>
    <w:p w:rsidR="00B51D4D" w:rsidRPr="00A50A71" w:rsidRDefault="00B51D4D" w:rsidP="00A50A71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i/>
          <w:sz w:val="28"/>
          <w:szCs w:val="28"/>
        </w:rPr>
        <w:t>брахиморфный</w:t>
      </w:r>
      <w:r w:rsidRPr="00A50A71">
        <w:rPr>
          <w:rFonts w:ascii="Times New Roman" w:hAnsi="Times New Roman"/>
          <w:sz w:val="28"/>
          <w:szCs w:val="28"/>
        </w:rPr>
        <w:t xml:space="preserve"> (широкое и длинное туловище и короткие конечности);</w:t>
      </w:r>
    </w:p>
    <w:p w:rsidR="00B51D4D" w:rsidRPr="00A50A71" w:rsidRDefault="00B51D4D" w:rsidP="00A50A71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i/>
          <w:sz w:val="28"/>
          <w:szCs w:val="28"/>
        </w:rPr>
        <w:t>долихоморфный</w:t>
      </w:r>
      <w:r w:rsidRPr="00A50A71">
        <w:rPr>
          <w:rFonts w:ascii="Times New Roman" w:hAnsi="Times New Roman"/>
          <w:sz w:val="28"/>
          <w:szCs w:val="28"/>
        </w:rPr>
        <w:t xml:space="preserve"> (короткое и узкое туловище, узкие плечи, узкий таз и длинные конечности);</w:t>
      </w:r>
    </w:p>
    <w:p w:rsidR="00B51D4D" w:rsidRPr="00A50A71" w:rsidRDefault="00B51D4D" w:rsidP="00A50A71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i/>
          <w:sz w:val="28"/>
          <w:szCs w:val="28"/>
        </w:rPr>
        <w:t>мезоморфный</w:t>
      </w:r>
      <w:r w:rsidRPr="00A50A71">
        <w:rPr>
          <w:rFonts w:ascii="Times New Roman" w:hAnsi="Times New Roman"/>
          <w:sz w:val="28"/>
          <w:szCs w:val="28"/>
        </w:rPr>
        <w:t xml:space="preserve"> (промежуточный тип – средней длины туловище и средней длины ноги).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Каждый из этих типов пропорций тела имеет соответствующие относительные размеры частей тела (в см): долихоморфный: длина туловища – 29,5; ширина плеч – 21,5; ширина таза – 16,0; длина ноги – 55,0; длина руки – 46,5; мезоморфный (соответственно): 31,0; 23,0; 16,5; 53,0; 44,5; брахиморфный: 33,5; 24,5; 17,5; 51,0; 42,5.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 xml:space="preserve">Эта схема пропорций тела основана на соотношении размеров отдельных его частей с длиной тела. Однако, поскольку средняя длина тела для долихоморфного типа составляет около </w:t>
      </w:r>
      <w:smartTag w:uri="urn:schemas-microsoft-com:office:smarttags" w:element="metricconverter">
        <w:smartTagPr>
          <w:attr w:name="ProductID" w:val="170 см"/>
        </w:smartTagPr>
        <w:r w:rsidRPr="00A50A71">
          <w:rPr>
            <w:rFonts w:ascii="Times New Roman" w:hAnsi="Times New Roman"/>
            <w:sz w:val="28"/>
            <w:szCs w:val="28"/>
          </w:rPr>
          <w:t>170 см</w:t>
        </w:r>
      </w:smartTag>
      <w:r w:rsidRPr="00A50A71">
        <w:rPr>
          <w:rFonts w:ascii="Times New Roman" w:hAnsi="Times New Roman"/>
          <w:sz w:val="28"/>
          <w:szCs w:val="28"/>
        </w:rPr>
        <w:t xml:space="preserve">, для мезоморфного – </w:t>
      </w:r>
      <w:smartTag w:uri="urn:schemas-microsoft-com:office:smarttags" w:element="metricconverter">
        <w:smartTagPr>
          <w:attr w:name="ProductID" w:val="165 см"/>
        </w:smartTagPr>
        <w:r w:rsidRPr="00A50A71">
          <w:rPr>
            <w:rFonts w:ascii="Times New Roman" w:hAnsi="Times New Roman"/>
            <w:sz w:val="28"/>
            <w:szCs w:val="28"/>
          </w:rPr>
          <w:t>165 см</w:t>
        </w:r>
      </w:smartTag>
      <w:r w:rsidRPr="00A50A71">
        <w:rPr>
          <w:rFonts w:ascii="Times New Roman" w:hAnsi="Times New Roman"/>
          <w:sz w:val="28"/>
          <w:szCs w:val="28"/>
        </w:rPr>
        <w:t xml:space="preserve"> и для брахиморфного – </w:t>
      </w:r>
      <w:smartTag w:uri="urn:schemas-microsoft-com:office:smarttags" w:element="metricconverter">
        <w:smartTagPr>
          <w:attr w:name="ProductID" w:val="155 см"/>
        </w:smartTagPr>
        <w:r w:rsidRPr="00A50A71">
          <w:rPr>
            <w:rFonts w:ascii="Times New Roman" w:hAnsi="Times New Roman"/>
            <w:sz w:val="28"/>
            <w:szCs w:val="28"/>
          </w:rPr>
          <w:t>155 см</w:t>
        </w:r>
      </w:smartTag>
      <w:r w:rsidRPr="00A50A71">
        <w:rPr>
          <w:rFonts w:ascii="Times New Roman" w:hAnsi="Times New Roman"/>
          <w:sz w:val="28"/>
          <w:szCs w:val="28"/>
        </w:rPr>
        <w:t>, то абсолютные размеры отдельных частей тела будут иные. У долихоморфного типа: длина тела – 170; длина туловища – 51; ширина плеч – 36,5; ширина таза – 27,5; длина ноги – 93,5; длина руки – 78,5; мезоморфный (соответственно): 165; 51; 36,0; 27,5; 87,5; 73,5; брахиморфный: 155; 51; 37,0; 27,5; 77,5; 67,0.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Отрицательная сторона методов индексов, используемых при определении пропорций тела, состоит в том, что они не учитывают взаимной связи между признаками. Поэтому таксономическая ценность индексов должна быть признана весьма относительной. Вместе с тем в спортивной практике они могут играть определённую роль, особенно если их анализируют в динамике у одного и того же испытуемого.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 xml:space="preserve">В настоящее время широко используется классификация пропорций тела В.В. Бунака (1937), в которой выделены девять типов пропорций тела по соотношению двух признаков: длины ног и ширины плеч. Эти типы обозначаются как </w:t>
      </w:r>
      <w:r w:rsidRPr="00A50A71">
        <w:rPr>
          <w:rFonts w:ascii="Times New Roman" w:hAnsi="Times New Roman"/>
          <w:i/>
          <w:sz w:val="28"/>
          <w:szCs w:val="28"/>
        </w:rPr>
        <w:t>арростоидный</w:t>
      </w:r>
      <w:r w:rsidRPr="00A50A71">
        <w:rPr>
          <w:rFonts w:ascii="Times New Roman" w:hAnsi="Times New Roman"/>
          <w:sz w:val="28"/>
          <w:szCs w:val="28"/>
        </w:rPr>
        <w:t xml:space="preserve"> – слабосильный, </w:t>
      </w:r>
      <w:r w:rsidRPr="00A50A71">
        <w:rPr>
          <w:rFonts w:ascii="Times New Roman" w:hAnsi="Times New Roman"/>
          <w:i/>
          <w:sz w:val="28"/>
          <w:szCs w:val="28"/>
        </w:rPr>
        <w:t>тейноидный</w:t>
      </w:r>
      <w:r w:rsidRPr="00A50A71">
        <w:rPr>
          <w:rFonts w:ascii="Times New Roman" w:hAnsi="Times New Roman"/>
          <w:sz w:val="28"/>
          <w:szCs w:val="28"/>
        </w:rPr>
        <w:t xml:space="preserve"> – длинный, </w:t>
      </w:r>
      <w:r w:rsidRPr="00A50A71">
        <w:rPr>
          <w:rFonts w:ascii="Times New Roman" w:hAnsi="Times New Roman"/>
          <w:i/>
          <w:sz w:val="28"/>
          <w:szCs w:val="28"/>
        </w:rPr>
        <w:t>стифроидный</w:t>
      </w:r>
      <w:r w:rsidRPr="00A50A71">
        <w:rPr>
          <w:rFonts w:ascii="Times New Roman" w:hAnsi="Times New Roman"/>
          <w:sz w:val="28"/>
          <w:szCs w:val="28"/>
        </w:rPr>
        <w:t xml:space="preserve"> – плотный, крепкий (табл. 15).</w:t>
      </w:r>
    </w:p>
    <w:p w:rsidR="0023181A" w:rsidRDefault="0023181A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Один из основных методов, который в настоящее время начинают широко использовать для определения пропорций тела, - это корреляционный метод. Он имеет то преимущество, что с его помощью можно выразить нетипичное соотношение признаков. Корреляционный метод позволяет определить парные связи признаков, а затем уравнением регрессии с применением парной и парциальной корреляции установить связь между признаками при одной (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y</w:t>
      </w:r>
      <w:r w:rsidRPr="00A50A71">
        <w:rPr>
          <w:rFonts w:ascii="Times New Roman" w:hAnsi="Times New Roman"/>
          <w:i/>
          <w:sz w:val="28"/>
          <w:szCs w:val="28"/>
        </w:rPr>
        <w:t xml:space="preserve"> =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a</w:t>
      </w:r>
      <w:r w:rsidRPr="00A50A71">
        <w:rPr>
          <w:rFonts w:ascii="Times New Roman" w:hAnsi="Times New Roman"/>
          <w:i/>
          <w:sz w:val="28"/>
          <w:szCs w:val="28"/>
        </w:rPr>
        <w:t xml:space="preserve"> +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by</w:t>
      </w:r>
      <w:r w:rsidRPr="00A50A71">
        <w:rPr>
          <w:rFonts w:ascii="Times New Roman" w:hAnsi="Times New Roman"/>
          <w:sz w:val="28"/>
          <w:szCs w:val="28"/>
        </w:rPr>
        <w:t>) или двух (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z</w:t>
      </w:r>
      <w:r w:rsidRPr="00A50A71">
        <w:rPr>
          <w:rFonts w:ascii="Times New Roman" w:hAnsi="Times New Roman"/>
          <w:i/>
          <w:sz w:val="28"/>
          <w:szCs w:val="28"/>
        </w:rPr>
        <w:t xml:space="preserve"> =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a</w:t>
      </w:r>
      <w:r w:rsidRPr="00A50A71">
        <w:rPr>
          <w:rFonts w:ascii="Times New Roman" w:hAnsi="Times New Roman"/>
          <w:i/>
          <w:sz w:val="28"/>
          <w:szCs w:val="28"/>
        </w:rPr>
        <w:t xml:space="preserve"> +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bx</w:t>
      </w:r>
      <w:r w:rsidRPr="00A50A71">
        <w:rPr>
          <w:rFonts w:ascii="Times New Roman" w:hAnsi="Times New Roman"/>
          <w:i/>
          <w:sz w:val="28"/>
          <w:szCs w:val="28"/>
        </w:rPr>
        <w:t xml:space="preserve"> +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cy</w:t>
      </w:r>
      <w:r w:rsidRPr="00A50A71">
        <w:rPr>
          <w:rFonts w:ascii="Times New Roman" w:hAnsi="Times New Roman"/>
          <w:sz w:val="28"/>
          <w:szCs w:val="28"/>
        </w:rPr>
        <w:t xml:space="preserve">) переменных, где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z</w:t>
      </w:r>
      <w:r w:rsidRPr="00A50A71">
        <w:rPr>
          <w:rFonts w:ascii="Times New Roman" w:hAnsi="Times New Roman"/>
          <w:i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>– искомый признак,</w:t>
      </w:r>
      <w:r w:rsidR="007351D9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x</w:t>
      </w:r>
      <w:r w:rsidRPr="00A50A71">
        <w:rPr>
          <w:rFonts w:ascii="Times New Roman" w:hAnsi="Times New Roman"/>
          <w:i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 xml:space="preserve">- ширина плеч,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y</w:t>
      </w:r>
      <w:r w:rsidRPr="00A50A71">
        <w:rPr>
          <w:rFonts w:ascii="Times New Roman" w:hAnsi="Times New Roman"/>
          <w:sz w:val="28"/>
          <w:szCs w:val="28"/>
        </w:rPr>
        <w:t xml:space="preserve"> - длина корпуса,</w:t>
      </w:r>
      <w:r w:rsidR="007351D9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a</w:t>
      </w:r>
      <w:r w:rsidRPr="00A50A71">
        <w:rPr>
          <w:rFonts w:ascii="Times New Roman" w:hAnsi="Times New Roman"/>
          <w:sz w:val="28"/>
          <w:szCs w:val="28"/>
        </w:rPr>
        <w:t xml:space="preserve">,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b</w:t>
      </w:r>
      <w:r w:rsidRPr="00A50A71">
        <w:rPr>
          <w:rFonts w:ascii="Times New Roman" w:hAnsi="Times New Roman"/>
          <w:i/>
          <w:sz w:val="28"/>
          <w:szCs w:val="28"/>
        </w:rPr>
        <w:t>,</w:t>
      </w:r>
      <w:r w:rsidRPr="00A50A71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i/>
          <w:sz w:val="28"/>
          <w:szCs w:val="28"/>
          <w:lang w:val="en-US"/>
        </w:rPr>
        <w:t>c</w:t>
      </w:r>
      <w:r w:rsidRPr="00A50A71">
        <w:rPr>
          <w:rFonts w:ascii="Times New Roman" w:hAnsi="Times New Roman"/>
          <w:sz w:val="28"/>
          <w:szCs w:val="28"/>
        </w:rPr>
        <w:t xml:space="preserve"> - постоянные величины, получаемые из специальных таблиц.</w:t>
      </w:r>
    </w:p>
    <w:p w:rsidR="00B51D4D" w:rsidRPr="00A50A71" w:rsidRDefault="00714529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503FA1">
        <w:rPr>
          <w:rFonts w:ascii="Times New Roman" w:hAnsi="Times New Roman"/>
          <w:noProof/>
          <w:sz w:val="28"/>
          <w:szCs w:val="28"/>
          <w:lang w:eastAsia="ru-RU"/>
        </w:rPr>
        <w:pict>
          <v:shape id="Рисунок 1" o:spid="_x0000_i1027" type="#_x0000_t75" style="width:375pt;height:216.75pt;visibility:visible">
            <v:imagedata r:id="rId8" o:title=""/>
          </v:shape>
        </w:pict>
      </w:r>
    </w:p>
    <w:p w:rsidR="007351D9" w:rsidRDefault="007351D9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Во многих работах все признаки приводятся к средним значениям длины корпуса и ширины плеч. Здесь также нет точных цифровых границ, указывающих на принадлежность данного представителя к определённому типу пропорций тела. Поэтому лучше пользоваться классификацией пропорций тела по В.В. Бунаку (1937).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51D4D" w:rsidRPr="00A50A71" w:rsidRDefault="00714529" w:rsidP="007351D9">
      <w:pPr>
        <w:pStyle w:val="a3"/>
        <w:spacing w:after="0" w:line="36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 </w:t>
      </w:r>
      <w:r w:rsidR="00B51D4D" w:rsidRPr="00A50A71">
        <w:rPr>
          <w:rFonts w:ascii="Times New Roman" w:hAnsi="Times New Roman"/>
          <w:b/>
          <w:sz w:val="28"/>
          <w:szCs w:val="28"/>
        </w:rPr>
        <w:t>Пропорции тела у спор</w:t>
      </w:r>
      <w:r>
        <w:rPr>
          <w:rFonts w:ascii="Times New Roman" w:hAnsi="Times New Roman"/>
          <w:b/>
          <w:sz w:val="28"/>
          <w:szCs w:val="28"/>
        </w:rPr>
        <w:t>тсменов различных специализаций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Известно,</w:t>
      </w:r>
      <w:r w:rsidR="007351D9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>что на пропорции тела оказывают влияние как эндогенные, так и экзогенные факторы. В связи с этим пропорции тела неодинаковы в различных половых, возрастных и этнических группах. Они различны и в пределах одной возрастной половой группы. Пропорции тела могут изменяться под влиянием занятий спортом. Этому влиянию в значительной мере подвержены обхватные признаки, а также поперечный и передне-задний размеры груди. Продольные же размеры тела мало изменяются под влиянием спортивной тренировки. Изучение пропорций тела у спортсменов в связи со спортивной специализацией позволяет установить характерные черты строения тела, которые могут способствовать достижению высоких спортивных результатов. Так, например, Дж. Таннер (1964) указывает, что в борьбе за высокие спортивные результаты (на уровне международного класса) разница в строении тела спортсменов может быть при определённых условиях решающей.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Материалы о пропорциях тела спортсменов могут помочь более правильному отбору для занятий спортом, а также выбрать специфические упражнения для устранения недостатков в пропорциях тела, индивидуализировать спортивную тренировку.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В настоящее время установлено, что, например, метатели по сравнению с бегунами и пловцами имеют наибольшую длину тела, длину ноги и руки, ширину плеч и ширину таза, т.е. по первым двум признакам они относятся к долихоморфному, а по двум последним – к брахиморфному типу пропорций тела.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У пловцов есть признаки как долихоморфии (длинные ноги, короткое туловище, относительно узкий таз), так и брахиморфии (средней ширины плечи, относительно короткие руки). Хорошо развитая мускулатура пояса верхних конечностей и грудной клетки, узкий таз и длинные ноги обусловливают своеобразную каплевидную форму тела пловцов, уменьшающую вихревое сопротивление воды и способствующую удлинению «шага» при плавании. Относительно короткие руки оказывают влияние на качество гребка (меньше плечо силы сопротивления, меньший момент инерции руки при переносе и т.п.).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Тяжелоатлетам свойственны преимущественно черты мезо- и брахиморфии; долихоморфия у них отсутствует. Наряду с этим тяжелоатлеты различных весовых категорий характеризуются неодинаковыми пропорциями тела. Спортсмены наилегчайшей и полулёгкой весовых категорий – коротконогие и широкоплечие; тяжелоатлеты лёгкой и полулёгкой весовых категорий – средненогие и широкоплечие; представители всех остальных весовых категорий имеют длинные ноги и широкие плечи, т.е. относятся к гигантоидному типу.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У баскетболистов преимущественно длинные ноги и узкие плечи, т.е. долихоморфный тип пропорций тела. Для гимнастов характерен мезоморфный тип с некоторой тенденцией к долихоморфии и гармоноидный (средней длины ноги и плечи). У борцов в большинстве случаев отмечается мезоморфный тип с тенденцией к брахиморфии.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Если сопоставить размеры сегментов верхней конечности, то можно отметить, что у гимнастов самое короткое плечо и предплечье, но самая длинная кисть (важно для захвата снаряда). Для баскетболистов характерна самая большая длина плеча при средней длине предплечья и кисти. У волейболистов – длинные плечо и (особенно) предплечье с относительно короткой кистью. Что касается сегментов нижней конечности, то у гимнастов большая длина бедра, у баскетболистов – голени, а у волейболистов – стопы. Ширина таз по отношению к ширине плеч у гимнастов составляет 67,4%, у баскетболистов – 71,27%, а у волейболистов – 69,74%. Поперечный диаметр груди по отношению к ширине плеч у гимнастов составляет 72,5%, у баскетболистов – 71,39%, у волейболистов – 71,92%, а передне-задний диаметр по отношению к поперечному у гимнастов – 66,46%, у баскетболистов – 69,87% и у волейболистов – 69,62%.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Соответственно классификации В.В. Бунака, среди гимнастов, баскетболистов и волейболистов встречаются спортсмены с различным типом пропорций тела, при этом наиболее часто отмечается гигантоидный тип (табл. 16).</w:t>
      </w:r>
    </w:p>
    <w:p w:rsidR="007351D9" w:rsidRDefault="007351D9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br w:type="page"/>
      </w:r>
      <w:r w:rsidR="00503FA1">
        <w:pict>
          <v:shape id="Рисунок 2" o:spid="_x0000_i1028" type="#_x0000_t75" style="width:249pt;height:307.5pt;visibility:visible" o:allowoverlap="f">
            <v:imagedata r:id="rId9" o:title=""/>
          </v:shape>
        </w:pict>
      </w:r>
    </w:p>
    <w:p w:rsidR="007351D9" w:rsidRDefault="007351D9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Английский учёный Дж. Таннер (1950), обследуя тяжелоатлетов – чемпионов мира, установил положительные зависимости между особенностями строения тела спортсмена и его</w:t>
      </w:r>
      <w:r w:rsidR="007351D9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>достижениями. Так, между весом тела и результатом в жиме коэффициент корреляции составил 0,85, между весом тела и результатом в рывке – 0,85, между весом тела и результатом в толчке – 0,80. Если длина тела и достижения в жиме имеют отрицательную связь (</w:t>
      </w:r>
      <w:r w:rsidRPr="00A50A71">
        <w:rPr>
          <w:rFonts w:ascii="Times New Roman" w:hAnsi="Times New Roman"/>
          <w:sz w:val="28"/>
          <w:szCs w:val="28"/>
          <w:lang w:val="en-US"/>
        </w:rPr>
        <w:t>r</w:t>
      </w:r>
      <w:r w:rsidRPr="00A50A71">
        <w:rPr>
          <w:rFonts w:ascii="Times New Roman" w:hAnsi="Times New Roman"/>
          <w:sz w:val="28"/>
          <w:szCs w:val="28"/>
        </w:rPr>
        <w:t xml:space="preserve"> =</w:t>
      </w:r>
      <w:r w:rsidR="007351D9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>- 0, 65), то длина тела и достижение в рывке и толчке – положительную связь (</w:t>
      </w:r>
      <w:r w:rsidRPr="00A50A71">
        <w:rPr>
          <w:rFonts w:ascii="Times New Roman" w:hAnsi="Times New Roman"/>
          <w:sz w:val="28"/>
          <w:szCs w:val="28"/>
          <w:lang w:val="en-US"/>
        </w:rPr>
        <w:t>r</w:t>
      </w:r>
      <w:r w:rsidRPr="00A50A71">
        <w:rPr>
          <w:rFonts w:ascii="Times New Roman" w:hAnsi="Times New Roman"/>
          <w:sz w:val="28"/>
          <w:szCs w:val="28"/>
        </w:rPr>
        <w:t xml:space="preserve"> = 0,75 и 0,81). Значит, высокорослость на результат в жиме влияет отрицательно.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Пропорции тела борцов определяют не столько результативность, сколько индивидуальные особенности техники. Так, двукратный чемпион мира С. Рыбалко и чемпион мира А. Саядов имеют почти одинаковый рост, но различные размеры сегментов конечностей (у С. Рыбалко длиннее предплечье). Поэтому первый наибольшее число побед получил в основном за счёт бросков через спину и переводов рывком, второй – за счёт бросков вертушкой и переводов нырком. Отсюда ясно, что при выборе индивидуальной техники надо учитывать длину конечностей и их сегментов (Э.Г. Мартиросов, 1968).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При выполнении преодолевающей работы (преодоление силы противника), по-видимому, в лучших условиях будут находиться борцы с короткими конечностями, так как эффективность в данном случае будет зависеть от относительной величины силы мышц (отношение силы мышц к весу тела). Борцам, имеющим длинные конечности, легче выполнять приёмы, связанные с моментом скручивания, сгибания, т.е. такие, в которых результат в основном зависит от умения создать противнику условия неустойчивого равновесия. Длинные конечности способствуют созданию большего момента вращения и снижают эффективность защитных действий противника с меньшими абсолютными размерами тела. Длинной голенью и стопой легче выполнить обвив голени противника, а длинная стопа помогает удержать противника в этом положении. Чем длиннее кисть, тем удобнее осуществлять захват конечностей и их удержание. Установлено также, что большая длина тела и ног отрицательно влияет на частоту бросков чучела, вместе с тем имеется положительная связь между числом бросков чучела и величиной отношения длины руки к длине ноги. Чем выше этот индекс, тем больше бросков выполняется за минуту.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С точки зрения законов механики, целесообразно, чтобы у тела, которое нужно перемещать, была меньшая масса, а у тела, с которым она взаимодействует, - большая. Поэтому для бегуна (особенно на сверхдлинные дистанции) и прыгуна (особенно в высоту) выгоднее иметь относительно меньшую массу тела, а для метателя – бóльшую.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У легкоатлетов-десятиборцев отмечается положительная связь тела с результатами во всех видах метаний и отрицательная с результатами в беге, прыжках в длину и прыжках в высоту. С результатами в спринте коррелирует комплексный показатель, включающий рост сидя, длину стопы, вес тела, а с результатами в беге на средние дистанции – показатель, включающий соотношение длины руки, длины ноги и их сегментов, показатель отношения обхвата плеча и бедра к плечевому и тазовому диаметрам и показатель отношения роста и веса. У прыгунов в длину технические результаты коррелируют с длиной бедра (</w:t>
      </w:r>
      <w:r w:rsidRPr="00A50A71">
        <w:rPr>
          <w:rFonts w:ascii="Times New Roman" w:hAnsi="Times New Roman"/>
          <w:sz w:val="28"/>
          <w:szCs w:val="28"/>
          <w:lang w:val="en-US"/>
        </w:rPr>
        <w:t>r</w:t>
      </w:r>
      <w:r w:rsidRPr="00A50A71">
        <w:rPr>
          <w:rFonts w:ascii="Times New Roman" w:hAnsi="Times New Roman"/>
          <w:sz w:val="28"/>
          <w:szCs w:val="28"/>
        </w:rPr>
        <w:t xml:space="preserve"> = 0,53), шириной плеч (</w:t>
      </w:r>
      <w:r w:rsidRPr="00A50A71">
        <w:rPr>
          <w:rFonts w:ascii="Times New Roman" w:hAnsi="Times New Roman"/>
          <w:sz w:val="28"/>
          <w:szCs w:val="28"/>
          <w:lang w:val="en-US"/>
        </w:rPr>
        <w:t>r</w:t>
      </w:r>
      <w:r w:rsidRPr="00A50A71">
        <w:rPr>
          <w:rFonts w:ascii="Times New Roman" w:hAnsi="Times New Roman"/>
          <w:sz w:val="28"/>
          <w:szCs w:val="28"/>
        </w:rPr>
        <w:t xml:space="preserve"> = 0,43).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Для легкоатлетов-метателей при отборе важно учитывать отношение между длиной плеча и длиной предплечья. Эта группа спортсменов отличается сравнительно высоким ростом при большом размахе рук. Длинные рычаги увеличивают время приложения силы к снаряду, а следовательно, его начальную скорость и дальность полёта. Достижения в метаниях зависят от размеров тела тем больше, чем тяжелее снаряд.</w:t>
      </w:r>
    </w:p>
    <w:p w:rsidR="00B51D4D" w:rsidRPr="00A50A71" w:rsidRDefault="00B51D4D" w:rsidP="00A50A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Приведённые данные позволяют говорить о том, что размеры тела и их соотношения, если не определяют, то во многом содействуют достижению спортивных результатов.</w:t>
      </w:r>
    </w:p>
    <w:p w:rsidR="00B51D4D" w:rsidRPr="00A50A71" w:rsidRDefault="007351D9" w:rsidP="007351D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B51D4D" w:rsidRPr="00A50A71">
        <w:rPr>
          <w:rFonts w:ascii="Times New Roman" w:hAnsi="Times New Roman"/>
          <w:b/>
          <w:sz w:val="28"/>
          <w:szCs w:val="28"/>
        </w:rPr>
        <w:t>Список литературы</w:t>
      </w:r>
    </w:p>
    <w:p w:rsidR="00B51D4D" w:rsidRPr="00A50A71" w:rsidRDefault="00B51D4D" w:rsidP="00A50A71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51D4D" w:rsidRPr="00A50A71" w:rsidRDefault="00B51D4D" w:rsidP="007351D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1. Глухих Ю.Н., Серебряков Г.Н. Основы динамической морфологии. - Омск, СибГАФК, 1998.</w:t>
      </w:r>
    </w:p>
    <w:p w:rsidR="00B51D4D" w:rsidRPr="00A50A71" w:rsidRDefault="00B51D4D" w:rsidP="007351D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2. Дорохов Р. Н., Рыбчинская Л. П. Телосложение спортсмена.</w:t>
      </w:r>
      <w:r w:rsidR="007351D9">
        <w:rPr>
          <w:rFonts w:ascii="Times New Roman" w:hAnsi="Times New Roman"/>
          <w:sz w:val="28"/>
          <w:szCs w:val="28"/>
        </w:rPr>
        <w:t xml:space="preserve"> </w:t>
      </w:r>
      <w:r w:rsidRPr="00A50A71">
        <w:rPr>
          <w:rFonts w:ascii="Times New Roman" w:hAnsi="Times New Roman"/>
          <w:sz w:val="28"/>
          <w:szCs w:val="28"/>
        </w:rPr>
        <w:t>– Смоленск, 1977.</w:t>
      </w:r>
    </w:p>
    <w:p w:rsidR="00B51D4D" w:rsidRPr="00A50A71" w:rsidRDefault="00B51D4D" w:rsidP="007351D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3. Дорохов Р.Н., Губа В.П. Спортивная морфология. – М., 2002.</w:t>
      </w:r>
    </w:p>
    <w:p w:rsidR="00B51D4D" w:rsidRPr="00A50A71" w:rsidRDefault="00B51D4D" w:rsidP="007351D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4. Иваницкий М. Ф. Анатомия человека с основами динамической и спортивной морфологии. – М.: ФиС, 1985.</w:t>
      </w:r>
    </w:p>
    <w:p w:rsidR="00B51D4D" w:rsidRPr="00A50A71" w:rsidRDefault="00B51D4D" w:rsidP="007351D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5. Казначеев В. П. Адаптация и конституция человека. – Новосибирск, 1986.</w:t>
      </w:r>
    </w:p>
    <w:p w:rsidR="00B51D4D" w:rsidRPr="00A50A71" w:rsidRDefault="00B51D4D" w:rsidP="007351D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6. Лысов П.К., Никитюк Б.Д., Сапин М.Р. Анатомия (с основами спортивной морфологии. - М.: Медицина, 2003.</w:t>
      </w:r>
    </w:p>
    <w:p w:rsidR="00B51D4D" w:rsidRPr="00A50A71" w:rsidRDefault="00B51D4D" w:rsidP="007351D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7. Морфология человека / Под ред. Б.А. Никитюка, В.П. Чтецова. - М.: Изд-во МГУ, 1990.</w:t>
      </w:r>
    </w:p>
    <w:p w:rsidR="00B51D4D" w:rsidRPr="00A50A71" w:rsidRDefault="00B51D4D" w:rsidP="007351D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50A71">
        <w:rPr>
          <w:rFonts w:ascii="Times New Roman" w:hAnsi="Times New Roman"/>
          <w:sz w:val="28"/>
          <w:szCs w:val="28"/>
        </w:rPr>
        <w:t>8. Никитюк Б.А., Гладышева А.А. Анатомия и спортивная морфология. – М., 1989.</w:t>
      </w:r>
      <w:bookmarkStart w:id="0" w:name="_GoBack"/>
      <w:bookmarkEnd w:id="0"/>
    </w:p>
    <w:sectPr w:rsidR="00B51D4D" w:rsidRPr="00A50A71" w:rsidSect="00A50A71">
      <w:headerReference w:type="even" r:id="rId10"/>
      <w:headerReference w:type="default" r:id="rId11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876" w:rsidRDefault="00DE5876">
      <w:r>
        <w:separator/>
      </w:r>
    </w:p>
  </w:endnote>
  <w:endnote w:type="continuationSeparator" w:id="0">
    <w:p w:rsidR="00DE5876" w:rsidRDefault="00DE5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876" w:rsidRDefault="00DE5876">
      <w:r>
        <w:separator/>
      </w:r>
    </w:p>
  </w:footnote>
  <w:footnote w:type="continuationSeparator" w:id="0">
    <w:p w:rsidR="00DE5876" w:rsidRDefault="00DE58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181A" w:rsidRDefault="0023181A" w:rsidP="00EF436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3181A" w:rsidRDefault="0023181A" w:rsidP="002B726E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181A" w:rsidRDefault="0023181A" w:rsidP="00EF436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351D9">
      <w:rPr>
        <w:rStyle w:val="a6"/>
        <w:noProof/>
      </w:rPr>
      <w:t>15</w:t>
    </w:r>
    <w:r>
      <w:rPr>
        <w:rStyle w:val="a6"/>
      </w:rPr>
      <w:fldChar w:fldCharType="end"/>
    </w:r>
  </w:p>
  <w:p w:rsidR="0023181A" w:rsidRDefault="0023181A" w:rsidP="002B726E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77A75"/>
    <w:multiLevelType w:val="hybridMultilevel"/>
    <w:tmpl w:val="EE1A1E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A14215E"/>
    <w:multiLevelType w:val="hybridMultilevel"/>
    <w:tmpl w:val="B94C1FF4"/>
    <w:lvl w:ilvl="0" w:tplc="3202E1D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47D56BD2"/>
    <w:multiLevelType w:val="hybridMultilevel"/>
    <w:tmpl w:val="654226D2"/>
    <w:lvl w:ilvl="0" w:tplc="98A6B70C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1D4D"/>
    <w:rsid w:val="00005714"/>
    <w:rsid w:val="00013EE8"/>
    <w:rsid w:val="00014791"/>
    <w:rsid w:val="0002149F"/>
    <w:rsid w:val="00042758"/>
    <w:rsid w:val="00043C0C"/>
    <w:rsid w:val="00054FDC"/>
    <w:rsid w:val="00056BAC"/>
    <w:rsid w:val="00062348"/>
    <w:rsid w:val="00075690"/>
    <w:rsid w:val="00077354"/>
    <w:rsid w:val="00077934"/>
    <w:rsid w:val="00090793"/>
    <w:rsid w:val="0009509A"/>
    <w:rsid w:val="00095AA3"/>
    <w:rsid w:val="000A4D68"/>
    <w:rsid w:val="000D3A90"/>
    <w:rsid w:val="000F25CC"/>
    <w:rsid w:val="000F2C88"/>
    <w:rsid w:val="000F3879"/>
    <w:rsid w:val="000F73C7"/>
    <w:rsid w:val="0010425F"/>
    <w:rsid w:val="00123057"/>
    <w:rsid w:val="00126D5B"/>
    <w:rsid w:val="001340C9"/>
    <w:rsid w:val="0013464A"/>
    <w:rsid w:val="00137E85"/>
    <w:rsid w:val="00141BD4"/>
    <w:rsid w:val="00144039"/>
    <w:rsid w:val="00146083"/>
    <w:rsid w:val="00153C32"/>
    <w:rsid w:val="00154A91"/>
    <w:rsid w:val="00161FDB"/>
    <w:rsid w:val="001628AF"/>
    <w:rsid w:val="001646A0"/>
    <w:rsid w:val="001718FF"/>
    <w:rsid w:val="00176B55"/>
    <w:rsid w:val="00182675"/>
    <w:rsid w:val="001833E8"/>
    <w:rsid w:val="00185D40"/>
    <w:rsid w:val="001876E4"/>
    <w:rsid w:val="001952C6"/>
    <w:rsid w:val="001C18E6"/>
    <w:rsid w:val="001D48AE"/>
    <w:rsid w:val="001E0301"/>
    <w:rsid w:val="001E0E86"/>
    <w:rsid w:val="001E11BE"/>
    <w:rsid w:val="001E13A1"/>
    <w:rsid w:val="001E25F8"/>
    <w:rsid w:val="001E5F39"/>
    <w:rsid w:val="001F3262"/>
    <w:rsid w:val="001F47B9"/>
    <w:rsid w:val="001F7042"/>
    <w:rsid w:val="002004E7"/>
    <w:rsid w:val="002030DE"/>
    <w:rsid w:val="002055E3"/>
    <w:rsid w:val="0023181A"/>
    <w:rsid w:val="002413D4"/>
    <w:rsid w:val="00255A2E"/>
    <w:rsid w:val="00256145"/>
    <w:rsid w:val="00260A6B"/>
    <w:rsid w:val="00266578"/>
    <w:rsid w:val="00273320"/>
    <w:rsid w:val="002749F2"/>
    <w:rsid w:val="00277B84"/>
    <w:rsid w:val="00277C2C"/>
    <w:rsid w:val="002854F3"/>
    <w:rsid w:val="0028786F"/>
    <w:rsid w:val="002965BA"/>
    <w:rsid w:val="002A0E9F"/>
    <w:rsid w:val="002A3C97"/>
    <w:rsid w:val="002A57FD"/>
    <w:rsid w:val="002A72D5"/>
    <w:rsid w:val="002B6750"/>
    <w:rsid w:val="002B726E"/>
    <w:rsid w:val="002C6232"/>
    <w:rsid w:val="002D701B"/>
    <w:rsid w:val="002E3721"/>
    <w:rsid w:val="002E7538"/>
    <w:rsid w:val="00316765"/>
    <w:rsid w:val="0032788E"/>
    <w:rsid w:val="003303B8"/>
    <w:rsid w:val="00330C1C"/>
    <w:rsid w:val="00362D7D"/>
    <w:rsid w:val="00367974"/>
    <w:rsid w:val="00382270"/>
    <w:rsid w:val="003831AB"/>
    <w:rsid w:val="00386A94"/>
    <w:rsid w:val="00390B5A"/>
    <w:rsid w:val="003A03CC"/>
    <w:rsid w:val="003A5C30"/>
    <w:rsid w:val="003A6FFB"/>
    <w:rsid w:val="003B30D3"/>
    <w:rsid w:val="003C4978"/>
    <w:rsid w:val="003C65AB"/>
    <w:rsid w:val="003D042A"/>
    <w:rsid w:val="003D1BCC"/>
    <w:rsid w:val="003E30CE"/>
    <w:rsid w:val="003E5E77"/>
    <w:rsid w:val="003E6337"/>
    <w:rsid w:val="003E6EA8"/>
    <w:rsid w:val="003F4D47"/>
    <w:rsid w:val="004002D6"/>
    <w:rsid w:val="00405123"/>
    <w:rsid w:val="00405E69"/>
    <w:rsid w:val="0041399A"/>
    <w:rsid w:val="0041644A"/>
    <w:rsid w:val="00427C5F"/>
    <w:rsid w:val="004310E8"/>
    <w:rsid w:val="00431986"/>
    <w:rsid w:val="00433643"/>
    <w:rsid w:val="00433EA4"/>
    <w:rsid w:val="00433F86"/>
    <w:rsid w:val="00444A8B"/>
    <w:rsid w:val="0044650D"/>
    <w:rsid w:val="0045481D"/>
    <w:rsid w:val="00461991"/>
    <w:rsid w:val="00464E2D"/>
    <w:rsid w:val="00471DF8"/>
    <w:rsid w:val="00475223"/>
    <w:rsid w:val="00476521"/>
    <w:rsid w:val="00477F0C"/>
    <w:rsid w:val="00487708"/>
    <w:rsid w:val="004A0748"/>
    <w:rsid w:val="004A145A"/>
    <w:rsid w:val="004A2EB6"/>
    <w:rsid w:val="004A597D"/>
    <w:rsid w:val="004B75BE"/>
    <w:rsid w:val="004C1D58"/>
    <w:rsid w:val="004D2AC4"/>
    <w:rsid w:val="004D2C6B"/>
    <w:rsid w:val="004D5EA9"/>
    <w:rsid w:val="004D6347"/>
    <w:rsid w:val="004E0441"/>
    <w:rsid w:val="004E560E"/>
    <w:rsid w:val="004F6BF3"/>
    <w:rsid w:val="00503FA1"/>
    <w:rsid w:val="005134CF"/>
    <w:rsid w:val="00521D4B"/>
    <w:rsid w:val="00527AF2"/>
    <w:rsid w:val="00534BCB"/>
    <w:rsid w:val="005411B4"/>
    <w:rsid w:val="00543FD3"/>
    <w:rsid w:val="005470CC"/>
    <w:rsid w:val="00547600"/>
    <w:rsid w:val="00555489"/>
    <w:rsid w:val="00556DC3"/>
    <w:rsid w:val="00562D97"/>
    <w:rsid w:val="00565572"/>
    <w:rsid w:val="00576BED"/>
    <w:rsid w:val="00580294"/>
    <w:rsid w:val="005807BF"/>
    <w:rsid w:val="005903E4"/>
    <w:rsid w:val="005A0599"/>
    <w:rsid w:val="005B0E36"/>
    <w:rsid w:val="005B69A6"/>
    <w:rsid w:val="005C59A9"/>
    <w:rsid w:val="005C7ED8"/>
    <w:rsid w:val="005D23FE"/>
    <w:rsid w:val="005D5E04"/>
    <w:rsid w:val="005D71F1"/>
    <w:rsid w:val="005F0DF4"/>
    <w:rsid w:val="005F2EED"/>
    <w:rsid w:val="0060208F"/>
    <w:rsid w:val="0062491A"/>
    <w:rsid w:val="00624C13"/>
    <w:rsid w:val="00626A5B"/>
    <w:rsid w:val="0063610C"/>
    <w:rsid w:val="00652D1E"/>
    <w:rsid w:val="00660E6D"/>
    <w:rsid w:val="006650BA"/>
    <w:rsid w:val="006804BE"/>
    <w:rsid w:val="006A1338"/>
    <w:rsid w:val="006A77BE"/>
    <w:rsid w:val="006B043E"/>
    <w:rsid w:val="006C28EB"/>
    <w:rsid w:val="006C3BD7"/>
    <w:rsid w:val="006D31AC"/>
    <w:rsid w:val="006D3DF3"/>
    <w:rsid w:val="006E283A"/>
    <w:rsid w:val="006E5F99"/>
    <w:rsid w:val="0070182D"/>
    <w:rsid w:val="00714529"/>
    <w:rsid w:val="00723E00"/>
    <w:rsid w:val="0073060E"/>
    <w:rsid w:val="007313E4"/>
    <w:rsid w:val="007351D9"/>
    <w:rsid w:val="00740E9C"/>
    <w:rsid w:val="0075398C"/>
    <w:rsid w:val="00766E72"/>
    <w:rsid w:val="00767CE4"/>
    <w:rsid w:val="00767E18"/>
    <w:rsid w:val="00771EA8"/>
    <w:rsid w:val="00792394"/>
    <w:rsid w:val="007923D2"/>
    <w:rsid w:val="007955CE"/>
    <w:rsid w:val="007B0D9B"/>
    <w:rsid w:val="007B531E"/>
    <w:rsid w:val="007B566A"/>
    <w:rsid w:val="007B7143"/>
    <w:rsid w:val="007D6880"/>
    <w:rsid w:val="007E12A9"/>
    <w:rsid w:val="007E4319"/>
    <w:rsid w:val="007E596C"/>
    <w:rsid w:val="007E6A73"/>
    <w:rsid w:val="007F6936"/>
    <w:rsid w:val="00822C12"/>
    <w:rsid w:val="008236F0"/>
    <w:rsid w:val="00823FC7"/>
    <w:rsid w:val="0082662A"/>
    <w:rsid w:val="00835243"/>
    <w:rsid w:val="00835EBE"/>
    <w:rsid w:val="00837C5B"/>
    <w:rsid w:val="00846A85"/>
    <w:rsid w:val="00852496"/>
    <w:rsid w:val="00871D96"/>
    <w:rsid w:val="008745E0"/>
    <w:rsid w:val="0087594E"/>
    <w:rsid w:val="0087605C"/>
    <w:rsid w:val="00877167"/>
    <w:rsid w:val="00884D95"/>
    <w:rsid w:val="008908D9"/>
    <w:rsid w:val="0089751E"/>
    <w:rsid w:val="008A66D0"/>
    <w:rsid w:val="008B2653"/>
    <w:rsid w:val="008B3AC6"/>
    <w:rsid w:val="008B5C3F"/>
    <w:rsid w:val="008C2F4E"/>
    <w:rsid w:val="008F00BB"/>
    <w:rsid w:val="008F678D"/>
    <w:rsid w:val="00916AEA"/>
    <w:rsid w:val="00922D87"/>
    <w:rsid w:val="00936F45"/>
    <w:rsid w:val="00947D24"/>
    <w:rsid w:val="00955B33"/>
    <w:rsid w:val="0095726D"/>
    <w:rsid w:val="00963CC2"/>
    <w:rsid w:val="009650F9"/>
    <w:rsid w:val="00980C95"/>
    <w:rsid w:val="00985304"/>
    <w:rsid w:val="00985E74"/>
    <w:rsid w:val="00986879"/>
    <w:rsid w:val="009A1174"/>
    <w:rsid w:val="009D09BB"/>
    <w:rsid w:val="009D0AA3"/>
    <w:rsid w:val="009D2227"/>
    <w:rsid w:val="009D2557"/>
    <w:rsid w:val="009E31EC"/>
    <w:rsid w:val="009E5FC3"/>
    <w:rsid w:val="009E65CE"/>
    <w:rsid w:val="00A01A17"/>
    <w:rsid w:val="00A050E1"/>
    <w:rsid w:val="00A06F5D"/>
    <w:rsid w:val="00A1403B"/>
    <w:rsid w:val="00A15280"/>
    <w:rsid w:val="00A249DD"/>
    <w:rsid w:val="00A3336D"/>
    <w:rsid w:val="00A37E0E"/>
    <w:rsid w:val="00A50A71"/>
    <w:rsid w:val="00A53BC7"/>
    <w:rsid w:val="00A5738B"/>
    <w:rsid w:val="00A64641"/>
    <w:rsid w:val="00A729FE"/>
    <w:rsid w:val="00A90591"/>
    <w:rsid w:val="00A94B4B"/>
    <w:rsid w:val="00AA10A9"/>
    <w:rsid w:val="00AA1443"/>
    <w:rsid w:val="00AA7DD3"/>
    <w:rsid w:val="00AC08A2"/>
    <w:rsid w:val="00AD4C21"/>
    <w:rsid w:val="00B037B5"/>
    <w:rsid w:val="00B10899"/>
    <w:rsid w:val="00B15A58"/>
    <w:rsid w:val="00B165DA"/>
    <w:rsid w:val="00B16786"/>
    <w:rsid w:val="00B2279A"/>
    <w:rsid w:val="00B31111"/>
    <w:rsid w:val="00B36E97"/>
    <w:rsid w:val="00B40040"/>
    <w:rsid w:val="00B51D4D"/>
    <w:rsid w:val="00B57743"/>
    <w:rsid w:val="00B70FC4"/>
    <w:rsid w:val="00B8414B"/>
    <w:rsid w:val="00BA4D8E"/>
    <w:rsid w:val="00BB1C1D"/>
    <w:rsid w:val="00BC75AB"/>
    <w:rsid w:val="00BD4FA2"/>
    <w:rsid w:val="00BE0233"/>
    <w:rsid w:val="00BE24BF"/>
    <w:rsid w:val="00BE2F47"/>
    <w:rsid w:val="00BF5EB5"/>
    <w:rsid w:val="00BF680A"/>
    <w:rsid w:val="00C00138"/>
    <w:rsid w:val="00C01E69"/>
    <w:rsid w:val="00C05608"/>
    <w:rsid w:val="00C05A5B"/>
    <w:rsid w:val="00C05F86"/>
    <w:rsid w:val="00C11EF0"/>
    <w:rsid w:val="00C1242F"/>
    <w:rsid w:val="00C218B2"/>
    <w:rsid w:val="00C30915"/>
    <w:rsid w:val="00C37F22"/>
    <w:rsid w:val="00C542FF"/>
    <w:rsid w:val="00C62926"/>
    <w:rsid w:val="00C650EC"/>
    <w:rsid w:val="00C6776C"/>
    <w:rsid w:val="00C71FD8"/>
    <w:rsid w:val="00C74042"/>
    <w:rsid w:val="00C7603E"/>
    <w:rsid w:val="00C7756B"/>
    <w:rsid w:val="00C83137"/>
    <w:rsid w:val="00C837AC"/>
    <w:rsid w:val="00C8582F"/>
    <w:rsid w:val="00C917CC"/>
    <w:rsid w:val="00C9288C"/>
    <w:rsid w:val="00C95BFB"/>
    <w:rsid w:val="00CA16CE"/>
    <w:rsid w:val="00CA28DB"/>
    <w:rsid w:val="00CA3284"/>
    <w:rsid w:val="00CA3CC3"/>
    <w:rsid w:val="00CA58E4"/>
    <w:rsid w:val="00CB56EF"/>
    <w:rsid w:val="00CC01CA"/>
    <w:rsid w:val="00CD4424"/>
    <w:rsid w:val="00CD5ABC"/>
    <w:rsid w:val="00CF0084"/>
    <w:rsid w:val="00CF625E"/>
    <w:rsid w:val="00D0481F"/>
    <w:rsid w:val="00D16D91"/>
    <w:rsid w:val="00D34E23"/>
    <w:rsid w:val="00D35FA2"/>
    <w:rsid w:val="00D74685"/>
    <w:rsid w:val="00D76D6F"/>
    <w:rsid w:val="00D82312"/>
    <w:rsid w:val="00D8270E"/>
    <w:rsid w:val="00D82A09"/>
    <w:rsid w:val="00D85384"/>
    <w:rsid w:val="00D903AA"/>
    <w:rsid w:val="00D97D0A"/>
    <w:rsid w:val="00DA4462"/>
    <w:rsid w:val="00DB0CE6"/>
    <w:rsid w:val="00DD7163"/>
    <w:rsid w:val="00DD7C4D"/>
    <w:rsid w:val="00DE5876"/>
    <w:rsid w:val="00DF55CF"/>
    <w:rsid w:val="00DF66BE"/>
    <w:rsid w:val="00E07A8C"/>
    <w:rsid w:val="00E10E75"/>
    <w:rsid w:val="00E23139"/>
    <w:rsid w:val="00E33E7E"/>
    <w:rsid w:val="00E357B0"/>
    <w:rsid w:val="00E51E0C"/>
    <w:rsid w:val="00E51EEA"/>
    <w:rsid w:val="00E52F6D"/>
    <w:rsid w:val="00E6181F"/>
    <w:rsid w:val="00E663FC"/>
    <w:rsid w:val="00E66AEA"/>
    <w:rsid w:val="00E67D7C"/>
    <w:rsid w:val="00E709E1"/>
    <w:rsid w:val="00E721AF"/>
    <w:rsid w:val="00E76D10"/>
    <w:rsid w:val="00E82BF7"/>
    <w:rsid w:val="00E853B0"/>
    <w:rsid w:val="00E96C72"/>
    <w:rsid w:val="00E9730D"/>
    <w:rsid w:val="00EA4B50"/>
    <w:rsid w:val="00EA52BB"/>
    <w:rsid w:val="00EB5C17"/>
    <w:rsid w:val="00EC2038"/>
    <w:rsid w:val="00EC5651"/>
    <w:rsid w:val="00ED35DF"/>
    <w:rsid w:val="00EE6FD8"/>
    <w:rsid w:val="00EF0B7F"/>
    <w:rsid w:val="00EF436F"/>
    <w:rsid w:val="00EF53EF"/>
    <w:rsid w:val="00F02F22"/>
    <w:rsid w:val="00F15B71"/>
    <w:rsid w:val="00F324FC"/>
    <w:rsid w:val="00F40DF5"/>
    <w:rsid w:val="00F624DC"/>
    <w:rsid w:val="00F67EC5"/>
    <w:rsid w:val="00F706F6"/>
    <w:rsid w:val="00F75EB5"/>
    <w:rsid w:val="00F9731B"/>
    <w:rsid w:val="00FA3A4C"/>
    <w:rsid w:val="00FB6984"/>
    <w:rsid w:val="00FB6C02"/>
    <w:rsid w:val="00FC5BFC"/>
    <w:rsid w:val="00FD7E50"/>
    <w:rsid w:val="00FE63A6"/>
    <w:rsid w:val="00FE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  <w14:defaultImageDpi w14:val="0"/>
  <w15:docId w15:val="{66F401DA-3B41-48D3-99C7-3FEB9F9CB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1D4D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B51D4D"/>
    <w:pPr>
      <w:keepNext/>
      <w:spacing w:after="0" w:line="360" w:lineRule="auto"/>
      <w:outlineLvl w:val="1"/>
    </w:pPr>
    <w:rPr>
      <w:rFonts w:ascii="Times New Roman" w:hAnsi="Times New Roman"/>
      <w:sz w:val="28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en-US"/>
    </w:rPr>
  </w:style>
  <w:style w:type="paragraph" w:styleId="a3">
    <w:name w:val="List Paragraph"/>
    <w:basedOn w:val="a"/>
    <w:uiPriority w:val="34"/>
    <w:qFormat/>
    <w:rsid w:val="00B51D4D"/>
    <w:pPr>
      <w:ind w:left="720"/>
      <w:contextualSpacing/>
    </w:pPr>
  </w:style>
  <w:style w:type="paragraph" w:styleId="a4">
    <w:name w:val="header"/>
    <w:basedOn w:val="a"/>
    <w:link w:val="a5"/>
    <w:uiPriority w:val="99"/>
    <w:rsid w:val="002B726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Pr>
      <w:rFonts w:ascii="Calibri" w:hAnsi="Calibri" w:cs="Times New Roman"/>
      <w:sz w:val="22"/>
      <w:szCs w:val="22"/>
      <w:lang w:val="x-none" w:eastAsia="en-US"/>
    </w:rPr>
  </w:style>
  <w:style w:type="character" w:styleId="a6">
    <w:name w:val="page number"/>
    <w:basedOn w:val="a0"/>
    <w:uiPriority w:val="99"/>
    <w:rsid w:val="002B726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2923</Words>
  <Characters>16666</Characters>
  <Application>Microsoft Office Word</Application>
  <DocSecurity>0</DocSecurity>
  <Lines>138</Lines>
  <Paragraphs>39</Paragraphs>
  <ScaleCrop>false</ScaleCrop>
  <Company>ДОМ</Company>
  <LinksUpToDate>false</LinksUpToDate>
  <CharactersWithSpaces>19550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Украины</dc:title>
  <dc:subject/>
  <dc:creator>КОСС</dc:creator>
  <cp:keywords/>
  <dc:description/>
  <cp:lastModifiedBy>admin</cp:lastModifiedBy>
  <cp:revision>2</cp:revision>
  <dcterms:created xsi:type="dcterms:W3CDTF">2014-04-23T17:55:00Z</dcterms:created>
  <dcterms:modified xsi:type="dcterms:W3CDTF">2014-04-23T17:55:00Z</dcterms:modified>
</cp:coreProperties>
</file>