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084" w:rsidRPr="00906560" w:rsidRDefault="00BB5084" w:rsidP="00BB5084">
      <w:pPr>
        <w:spacing w:before="120"/>
        <w:jc w:val="center"/>
        <w:rPr>
          <w:rFonts w:ascii="Times New Roman" w:hAnsi="Times New Roman" w:cs="Times New Roman"/>
          <w:b/>
          <w:bCs/>
        </w:rPr>
      </w:pPr>
      <w:r w:rsidRPr="00906560">
        <w:rPr>
          <w:rFonts w:ascii="Times New Roman" w:hAnsi="Times New Roman" w:cs="Times New Roman"/>
          <w:b/>
          <w:bCs/>
        </w:rPr>
        <w:t>Учет себестоимости продукции промышленного предприятия</w:t>
      </w:r>
    </w:p>
    <w:p w:rsidR="00BB5084" w:rsidRPr="00906560" w:rsidRDefault="00BB5084" w:rsidP="00BB5084">
      <w:pPr>
        <w:spacing w:before="120"/>
        <w:jc w:val="center"/>
        <w:rPr>
          <w:rFonts w:ascii="Times New Roman" w:hAnsi="Times New Roman" w:cs="Times New Roman"/>
          <w:sz w:val="28"/>
          <w:szCs w:val="28"/>
        </w:rPr>
      </w:pPr>
      <w:r w:rsidRPr="00906560">
        <w:rPr>
          <w:rFonts w:ascii="Times New Roman" w:hAnsi="Times New Roman" w:cs="Times New Roman"/>
          <w:sz w:val="28"/>
          <w:szCs w:val="28"/>
        </w:rPr>
        <w:t>В.Я. Кожинов, академик Международной академии информатизации</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Прибыль промышленного предприятия во многом зависит не только от качества технологических процессов, конструктивного совершенства выпускаемой продукции, эффективности управления производством и квалификации кадров, но и от уровня необходимых затрат. А потому проблема учета затрат и калькулирования себестоимости продукции по-прежнему находится в центре внимания представителей многих национальных школ бухгалтерского учета. </w:t>
      </w:r>
    </w:p>
    <w:p w:rsidR="00BB5084" w:rsidRPr="00906560" w:rsidRDefault="00BB5084" w:rsidP="00BB5084">
      <w:pPr>
        <w:spacing w:before="120"/>
        <w:jc w:val="center"/>
        <w:rPr>
          <w:rFonts w:ascii="Times New Roman" w:hAnsi="Times New Roman" w:cs="Times New Roman"/>
          <w:b/>
          <w:bCs/>
          <w:sz w:val="28"/>
          <w:szCs w:val="28"/>
        </w:rPr>
      </w:pPr>
      <w:r w:rsidRPr="00906560">
        <w:rPr>
          <w:rFonts w:ascii="Times New Roman" w:hAnsi="Times New Roman" w:cs="Times New Roman"/>
          <w:b/>
          <w:bCs/>
          <w:sz w:val="28"/>
          <w:szCs w:val="28"/>
        </w:rPr>
        <w:t xml:space="preserve">Методы учета затрат и калькулирования себестоимости продукции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настоящее время в международной практике бухгалтерского учета используются следующие методы учета затрат и калькулирования себестоимости: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попередельный;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попроцессный (простой);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позаказный;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нормативного регулирования (standard costs);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прямых затрат (directcosting);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метод центров ответственности;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ABC-метод.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Попередельный метод заключается в том, что затраты на весь цикл производства, от обработки исходного сырья до выпуска конечного продукта, учитываются и калькулируются в каждом цехе (переделе, фазе, стадии), включая, как правило, себестоимость полуфабрикатов, изготовленных в предыдущем цехе. Таким образом, себестоимость продукции каждого последующего цеха слагается из произведенных им затрат и себестоимости полуфабрикатов, полученных из смежных цехов.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При попроцессном методе затраты учитываются и калькулируются на полный выпуск продукции. На большинстве предприятий, применяющих этот метод, незавершенное производство отсутствует или имеет очень ограниченную величину, поэтому себестоимость единицы продукции определяется простым делением затрат на весь объем в натуральных или условно-натуральных показателях. Затраты часто учитываются по отдельным стадиям (фазам) общего технологического процесса, что и дало название данному методу.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Основным объектом учета при позаказ-ном методе служит отдельный производственный заказ, открытый на предварительно установленное количество изделий. Их фактическая себестоимость выявляется после выполнения данного заказа. Поэтому для ежемесячного определения фактической себестоимости продукции производственные заказы должны быть ограничены программой, рассчитанной на такое количество единиц изделий, которое намечается выпустить в течение месяца. При изготовлении крупных изделий с длительным технологическим циклом производства заказы обычно открываются не на полное изделие, а на отдельные его агрегаты и узлы, представляющие законченные конструкции.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При методе нормативного калькулирования себестоимости продукции на коммерческом предприятии научно-практическим способом устанавливаются нормы затрат на элементарные операции, переделы, хозяйственные действия, отдельные детали, сборочные единицы и т.п. Бухгалтерский учет производится по утвержденным нормативам, которые являются предельными. Отклонения от них фиксируются, а причины превышения норм специально разбираются.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Метод прямых затрат заключается в том, что в совокупности расходов выделяются три вида затрат: прямые, косвенные и комплексные. Прямые затраты, т.е. те, которые непосредственно соотносятся с конкретными видами продукции (работ, услуг), закладываются в основу нижней границы цены. Косвенные (накладные) и комплексные расходы не распределяются по видам продукции (работ, услуг), а списываются в полном объеме на реализацию продукции (работ, услуг).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При использовании метода центров ответственности в технологической структуре предприятия выделяют крупные подразделения, руководители которых несут персональную ответственность за такие экономические факторы этих подразделений, как общая сумма затрат, объем поступившей выручки, величина полученной прибыли, размер освоенных инвестиций.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ABC-метод заключается в том, что на коммерческом предприятии собираются затраты по крупным производственным, технологическим и управленческим функциям и действиям. К ним можно отнести, например, сбор информации о расходах по определенным направлениям хозяйственной деятельности, а именно на хранение товарно-материальных ценностей, производство и сбыт продукции (работ, услуг), лабораторные и экспериментальные работы; натурные испытания изготовленных изделий; выпуск опытных образцов продукции; контроль качества и сертификацию продукции (работ, услуг); содержание аппарата управления; информационное обеспечение персонала; эксплуатацию и обслуживание вычислительной техники.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Все упомянутые методы обладают как определенными преимуществами, так и недостатками. Средние и малые коммерческие фирмы при их выборе обычно руководствуются критерием «эффективность-стоимость», т.е. сопоставляют расходы на их внедрение с ожидаемой выгодой. Крупные предприятия, как правило, применяют их в различных комбинациях.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настоящее время нет утвержденной государственной типовой технической и технологической структуры организации производства. Поскольку все предпринимательские риски несет руководство предприятия, оно вправе, опираясь на общие нормативные документы бухгалтерского учета, выбрать метод учета затрат и калькулирования себестоимости выпускаемой продукции, наиболее приемлемый для используемого на предприятии технологического процесса.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свете изложенного каждому коммерческому предприятию необходимо разработать свою учетную систему калькулирования себестоимости и утвердить ее в учетной политике. </w:t>
      </w:r>
    </w:p>
    <w:p w:rsidR="00BB5084" w:rsidRPr="00906560" w:rsidRDefault="00BB5084" w:rsidP="00BB5084">
      <w:pPr>
        <w:spacing w:before="120"/>
        <w:jc w:val="center"/>
        <w:rPr>
          <w:rFonts w:ascii="Times New Roman" w:hAnsi="Times New Roman" w:cs="Times New Roman"/>
          <w:b/>
          <w:bCs/>
          <w:sz w:val="28"/>
          <w:szCs w:val="28"/>
        </w:rPr>
      </w:pPr>
      <w:r w:rsidRPr="00906560">
        <w:rPr>
          <w:rFonts w:ascii="Times New Roman" w:hAnsi="Times New Roman" w:cs="Times New Roman"/>
          <w:b/>
          <w:bCs/>
          <w:sz w:val="28"/>
          <w:szCs w:val="28"/>
        </w:rPr>
        <w:t xml:space="preserve">Общая характеристика учета затрат на предприятии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Рассмотрим в качестве примера промышленное предприятие машиностроительной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отрасли, работающее по заказам и выпускающее продукцию трех видов. При изготовлении изделий в основном производстве используются литейный процесс, механическая обработка заготовок, гальваническое покрытие деталей, а также предварительная и окончательная сборка изделий. Предприятие имеет цеховую структуру, функционируют следующие цеха: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литейный;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механический (механической обработки);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гальванический (цех гальванических покрытий);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сборочный;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энергетический (вырабатывающий различные виды энергии);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ремонтный;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транспортный.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Также на предприятии имеются заводоуправление, конструкторское бюро (КБ) и технологический отдел.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Такая структура позволяет оптимизировать по времени последовательность хозяйственных операций и действий и, кроме того, обеспечивает персонификацию ответственности управленческого аппарата предприятия перед его собственниками за конечные финансовые результаты хозяйственной деятельности (цеха и отделы по форме организации труда сформированы в качестве центров ответственности).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К цехам основного производства относятся литейный, механический, гальванический и сборочный цеха. Бухгалтерский учет себестоимости продукции в них ведется полу-фабрикатным методом. Его смысл в том, что прошедшие соответствующий технологический процесс детали и агрегаты принимаются контролерами цеха и передаются на центральный склад, с которого они могут быть затребованы и перемещены в другие цеха для дальнейшей доработки (исключая сборочный цех, из которого на склад поступают готовые изделия).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бухгалтерском учете каждого производственного цеха при этом делаются следующие проводки: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21 «Полуфабрикаты собственного производства» — К 20 «Основное производство» — переданы на общезаводской склад законченные заготовки в литейном, механическом и гальваническом цехах;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20 — К 21 — поступили с общезаводского склада полуфабрикаты для дальнейшей обработки или сборки;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43 «Готовая продукция» — К 20 — списана полная фактическая себестоимость продукции, обработка которой завершена в сборочном цехе.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Бухгалтерский учет себестоимости продукции ведется в этих цехах так называемым котловым способом, т.е. все расходы собираются на субсчетах 1—4, открытых к счету 20 (1 «Затраты литейного цеха», 2 «Затраты механического цеха», 3 «Затраты гальванического цеха», 4 «Затраты сборочного цеха»).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Рассмотрим последовательность включения затрат в себестоимость.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Сначала собираются затраты по прямым статьям (списываются основные материалы, начисляются суммы оплаты труда, рассчитываются отчисления в социальные фонды, учитываются расходы смежных организаций и включаются соответствующие доли расходов будущих периодов). Они учитываются на счете 20 в корреспонденции со следующими счетами: 10 «Материалы», 60 «Расчеты с поставщиками и подрядчиками», 69 «Расчеты по социальному страхованию и обеспечению», 70 «Расчеты с персоналом по оплате труда», 76 «Расчеты с разными дебиторами и кредиторами», 97 «Расходы будущих периодов».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Амортизационные отчисления учитываются в составе затрат по содержанию оборудования.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течение месяца ведется учет бракованной продукции. Если брак исправимый, то в бухгалтерском учете делаются следующие проводки: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28 «Брак в производстве» — К 10, 69, 70 — учтены материальные и трудовые расходы по исправлению брака, включая отчисления в социальные фонды;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20 — К 28 — списаны на себестоимость продукции расходы по исправлению брака (в конце месяца).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Если брак неисправимый, то оформляются такие проводки: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28 — К 20 — выведена из состава затрат стоимость забракованной продукции;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10 — К 28 — учтена стоимость материалов, извлеченных из забракованной продукции;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73 «Расчеты с персоналом по прочим операциям» — К 28 — предъявлена претензия виновнику брака.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конце месяца подводятся итоги использования материалов, возвратные отходы приходуются на склад проводкой Д 10 — К 20. Затем включаются в себестоимость комплексные общепроизводственные расходы, которые для каждого цеха основного производства собираются на двух субсчетах счета 25 «Общепроизводственные расходы»: 1 «Расходы по содержанию и эксплуатации оборудования» и 2 «Общехозяйственные расходы».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течение месяца в бухгалтерском учете делаются несколько записей: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25-1 — К 02 «Амортизация основных средств», 10, 60, 69, 70, 76 — отражены затраты, связанные с содержанием и эксплуатацией оборудования, включая амортизацию ОС;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25-2 — К 02, 10, 60, 69, 70, 71, 76 — учтены общепроизводственные затраты, вклю-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чая амортизацию зданий и оборудования общепроизводственного назначения и оплату труда аппарата управления цехом.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конце месяца комплексные расходы включаются в себестоимость продукции (полуфабрикатов) каждого цеха: Д 20 — К 25.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Далее в себестоимости учитываются доли затрат вспомогательных производств. В рассматриваемом нами случае по сравнению с себестоимостью выпущенной товарной продукции они невелики. Кроме того, вся их продукция предназначена для внутреннего пользования, поэтому они предварительно учитываются по вспомогательным цехам на различных субсчетах к счету 23 «Вспомогательные производства» (1 «Затраты энергетического цеха», 2 «Затраты ремонтного цеха», 3 «Затраты транспортного цеха») в виде комплексных расходов. Эти операции оформляются проводками по дебету счета 23 в корреспонденции со счетами 02, 10, 60, 69, 70, 71, 76.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Перед распределением таких затрат по цехам основного производства и общезаводским отделам учитываются встречные услуги этих цехов (энергетического, ремонтного и транспортного), что оформляется соответствующими проводками по субсчетам счета 23.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Ежемесячные затраты цехов вспомогательного производства распределяются по основным цехам, включаются в затраты конструкторского бюро, технологического отдела и заводоуправления пропорционально выбранным показателям. За них могут приниматься различные параметры. В качестве упрощенной схемы возьмем распределение пропорционально объему общих затрат подразделений, без включения в них расходов вспомогательного производства.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Включение в затраты цехов основного производства, заводских отделов и заводоуправления затрат цехов вспомогательного производства оформляется следующими проводками: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20 — К 23 — учтены соответствующие доли затрат вспомогательных цехов в составе себестоимости продукции цехов основного производства;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26 «Общехозяйственные расходы» — К 23 — отражены доли затрат вспомогательных цехов в составе общехозяйственных расходов.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Общехозяйственные расходы собираются по подразделениям на соответствующих субсчетах счета 26: 1 «Затраты конструкторского бюро», 2 «Затраты технологического отдела», 3 «Затраты заводоуправления». Перечень общехозяйственных расходов приведен в табл. 7.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бухгалтерском учете накопление этих расходов отражается несколькими проводками по дебету счета 26 и кредиту счетов 02, 05 «Амортизация нематериальных активов», 10, 23, 60, 68, 69, 70, 71, 76, 94 «Недостачи и потери от порчи ценностей», 97.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Расходы, связанные с совершенствованием конструкции изделий, технологии их изготовления, а также обслуживанием и управлением производства, тоже отражаются на счете 26 и по цехам не распределяются.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Во взятой нами для примера ситуации все затраты предприятия на работу конструкторского бюро, технологического отдела и заводоуправления списываются непосредственно на реализацию продукции. Не выделяются доли, относящиеся к незавершенному производству и к нереализованной продукции. Не распределяются они и по видам продукции, хотя их доли, приходящиеся на отдельные виды изделий, учитываются в процессе ценообразования, поскольку, как мы уже указывали, рассматриваемое предприятие предпочитает работать по заказам.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Главными характеристиками, формирующими состав и сумму затрат всех подразделений, являются три следующих показателя: балансовая стоимость основных средств, количество работников и их средняя заработная плата. В рассматриваемом примере (табл. 1) они выбраны по статистическим данным из ряда официальных источников.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1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2624"/>
        <w:gridCol w:w="2255"/>
        <w:gridCol w:w="2387"/>
        <w:gridCol w:w="2462"/>
      </w:tblGrid>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подразделение </w:t>
            </w:r>
          </w:p>
        </w:tc>
        <w:tc>
          <w:tcPr>
            <w:tcW w:w="1144" w:type="pct"/>
            <w:vAlign w:val="center"/>
          </w:tcPr>
          <w:p w:rsidR="00BB5084"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балансовая стоимость ос,</w:t>
            </w: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тыс. руб.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количество работников, чел.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средняя заработная плата, тыс. руб.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Литейный цех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22 764,1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33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15,0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Механический цех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18 796,7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47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17,0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Гальванический цех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15 791,6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38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15,0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Сборочный цех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34 308,4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48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20,0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Энергетический цех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3 326,2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Ремонтный цех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2 603,0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15,0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Транспортный цех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1 667,9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Конструкторское бюро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4 219,9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20,0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Технический отдел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3 326,9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22,0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Заводоуправление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17 269,0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19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24,5 </w:t>
            </w:r>
          </w:p>
        </w:tc>
      </w:tr>
      <w:tr w:rsidR="00BB5084" w:rsidRPr="00906560">
        <w:trPr>
          <w:tblCellSpacing w:w="15" w:type="dxa"/>
        </w:trPr>
        <w:tc>
          <w:tcPr>
            <w:tcW w:w="13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114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124 073,7 </w:t>
            </w:r>
          </w:p>
        </w:tc>
        <w:tc>
          <w:tcPr>
            <w:tcW w:w="121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217 </w:t>
            </w:r>
          </w:p>
        </w:tc>
        <w:tc>
          <w:tcPr>
            <w:tcW w:w="124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17 660,0 </w:t>
            </w:r>
          </w:p>
        </w:tc>
      </w:tr>
    </w:tbl>
    <w:p w:rsidR="00BB5084" w:rsidRPr="00906560" w:rsidRDefault="00BB5084" w:rsidP="00BB5084">
      <w:pPr>
        <w:spacing w:before="120"/>
        <w:jc w:val="center"/>
        <w:rPr>
          <w:rFonts w:ascii="Times New Roman" w:hAnsi="Times New Roman" w:cs="Times New Roman"/>
          <w:b/>
          <w:bCs/>
          <w:sz w:val="28"/>
          <w:szCs w:val="28"/>
        </w:rPr>
      </w:pPr>
      <w:r w:rsidRPr="00906560">
        <w:rPr>
          <w:rFonts w:ascii="Times New Roman" w:hAnsi="Times New Roman" w:cs="Times New Roman"/>
          <w:b/>
          <w:bCs/>
          <w:sz w:val="28"/>
          <w:szCs w:val="28"/>
        </w:rPr>
        <w:t xml:space="preserve">Учет затрат основных цехов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Суммы незавершенного производства (НЗП) на начало и конец месяца, а также стоимость выпущенных полуфабрикатов по цехам основного производства представлены в табл. 2.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Затраты по этим цехам собираются тремя способами: по бухгалтерским счетам, по экономическим элементам (см. табл. 3) и по статьям расходов, выбранным руководством предприятия (см. табл. 4).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2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2218"/>
        <w:gridCol w:w="1951"/>
        <w:gridCol w:w="1915"/>
        <w:gridCol w:w="3644"/>
      </w:tblGrid>
      <w:tr w:rsidR="00BB5084" w:rsidRPr="00906560">
        <w:trPr>
          <w:tblCellSpacing w:w="15" w:type="dxa"/>
        </w:trPr>
        <w:tc>
          <w:tcPr>
            <w:tcW w:w="1121" w:type="pct"/>
            <w:vMerge w:val="restar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цеха </w:t>
            </w:r>
          </w:p>
        </w:tc>
        <w:tc>
          <w:tcPr>
            <w:tcW w:w="1963" w:type="pct"/>
            <w:gridSpan w:val="2"/>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незавершенное производство, тыс. руб. </w:t>
            </w:r>
          </w:p>
        </w:tc>
        <w:tc>
          <w:tcPr>
            <w:tcW w:w="1856" w:type="pct"/>
            <w:vMerge w:val="restar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выпущенные полуфабрикаты, тыс. руб. </w:t>
            </w:r>
          </w:p>
        </w:tc>
      </w:tr>
      <w:tr w:rsidR="00BB5084" w:rsidRPr="00906560">
        <w:trPr>
          <w:tblCellSpacing w:w="15" w:type="dxa"/>
        </w:trPr>
        <w:tc>
          <w:tcPr>
            <w:tcW w:w="1121" w:type="pct"/>
            <w:vMerge/>
            <w:vAlign w:val="center"/>
          </w:tcPr>
          <w:p w:rsidR="00BB5084" w:rsidRPr="00906560" w:rsidRDefault="00BB5084" w:rsidP="00B368C3">
            <w:pPr>
              <w:rPr>
                <w:rFonts w:ascii="Times New Roman" w:hAnsi="Times New Roman" w:cs="Times New Roman"/>
                <w:sz w:val="24"/>
                <w:szCs w:val="24"/>
              </w:rPr>
            </w:pPr>
          </w:p>
        </w:tc>
        <w:tc>
          <w:tcPr>
            <w:tcW w:w="99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на начало Месяца </w:t>
            </w:r>
          </w:p>
        </w:tc>
        <w:tc>
          <w:tcPr>
            <w:tcW w:w="95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на конец Месяца </w:t>
            </w:r>
          </w:p>
        </w:tc>
        <w:tc>
          <w:tcPr>
            <w:tcW w:w="1856" w:type="pct"/>
            <w:vMerge/>
            <w:vAlign w:val="center"/>
          </w:tcPr>
          <w:p w:rsidR="00BB5084" w:rsidRPr="00906560" w:rsidRDefault="00BB5084" w:rsidP="00B368C3">
            <w:pPr>
              <w:rPr>
                <w:rFonts w:ascii="Times New Roman" w:hAnsi="Times New Roman" w:cs="Times New Roman"/>
                <w:sz w:val="24"/>
                <w:szCs w:val="24"/>
              </w:rPr>
            </w:pP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Литейный </w:t>
            </w:r>
          </w:p>
        </w:tc>
        <w:tc>
          <w:tcPr>
            <w:tcW w:w="99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403,9 </w:t>
            </w:r>
          </w:p>
        </w:tc>
        <w:tc>
          <w:tcPr>
            <w:tcW w:w="95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361,6 </w:t>
            </w:r>
          </w:p>
        </w:tc>
        <w:tc>
          <w:tcPr>
            <w:tcW w:w="185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2 849,3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Механический </w:t>
            </w:r>
          </w:p>
        </w:tc>
        <w:tc>
          <w:tcPr>
            <w:tcW w:w="99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358,7 </w:t>
            </w:r>
          </w:p>
        </w:tc>
        <w:tc>
          <w:tcPr>
            <w:tcW w:w="95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369,5 </w:t>
            </w:r>
          </w:p>
        </w:tc>
        <w:tc>
          <w:tcPr>
            <w:tcW w:w="185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3 296,7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Гальванический </w:t>
            </w:r>
          </w:p>
        </w:tc>
        <w:tc>
          <w:tcPr>
            <w:tcW w:w="99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234,8 </w:t>
            </w:r>
          </w:p>
        </w:tc>
        <w:tc>
          <w:tcPr>
            <w:tcW w:w="95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221,9 </w:t>
            </w:r>
          </w:p>
        </w:tc>
        <w:tc>
          <w:tcPr>
            <w:tcW w:w="185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2 432,4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Сборочный </w:t>
            </w:r>
          </w:p>
        </w:tc>
        <w:tc>
          <w:tcPr>
            <w:tcW w:w="99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196,0 </w:t>
            </w:r>
          </w:p>
        </w:tc>
        <w:tc>
          <w:tcPr>
            <w:tcW w:w="95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220,0 </w:t>
            </w:r>
          </w:p>
        </w:tc>
        <w:tc>
          <w:tcPr>
            <w:tcW w:w="185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3 165,2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99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1 193,4 </w:t>
            </w:r>
          </w:p>
        </w:tc>
        <w:tc>
          <w:tcPr>
            <w:tcW w:w="95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1 173,0 </w:t>
            </w:r>
          </w:p>
        </w:tc>
        <w:tc>
          <w:tcPr>
            <w:tcW w:w="185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11 743,6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3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1734"/>
        <w:gridCol w:w="1067"/>
        <w:gridCol w:w="971"/>
        <w:gridCol w:w="941"/>
        <w:gridCol w:w="969"/>
        <w:gridCol w:w="941"/>
        <w:gridCol w:w="969"/>
        <w:gridCol w:w="1067"/>
        <w:gridCol w:w="1069"/>
      </w:tblGrid>
      <w:tr w:rsidR="00BB5084" w:rsidRPr="00906560">
        <w:trPr>
          <w:tblCellSpacing w:w="15" w:type="dxa"/>
        </w:trPr>
        <w:tc>
          <w:tcPr>
            <w:tcW w:w="887" w:type="pct"/>
            <w:vMerge w:val="restart"/>
            <w:vAlign w:val="center"/>
          </w:tcPr>
          <w:p w:rsidR="00BB5084" w:rsidRDefault="00BB5084" w:rsidP="00B368C3">
            <w:pPr>
              <w:rPr>
                <w:rFonts w:ascii="Times New Roman" w:hAnsi="Times New Roman" w:cs="Times New Roman"/>
                <w:sz w:val="24"/>
                <w:szCs w:val="24"/>
              </w:rPr>
            </w:pP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вид затрат </w:t>
            </w:r>
          </w:p>
        </w:tc>
        <w:tc>
          <w:tcPr>
            <w:tcW w:w="4069" w:type="pct"/>
            <w:gridSpan w:val="8"/>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цеха основного производства </w:t>
            </w:r>
          </w:p>
        </w:tc>
      </w:tr>
      <w:tr w:rsidR="00BB5084" w:rsidRPr="00906560">
        <w:trPr>
          <w:tblCellSpacing w:w="15" w:type="dxa"/>
        </w:trPr>
        <w:tc>
          <w:tcPr>
            <w:tcW w:w="887" w:type="pct"/>
            <w:vMerge/>
            <w:vAlign w:val="center"/>
          </w:tcPr>
          <w:p w:rsidR="00BB5084" w:rsidRPr="00906560" w:rsidRDefault="00BB5084" w:rsidP="00B368C3">
            <w:pPr>
              <w:rPr>
                <w:rFonts w:ascii="Times New Roman" w:hAnsi="Times New Roman" w:cs="Times New Roman"/>
                <w:sz w:val="24"/>
                <w:szCs w:val="24"/>
              </w:rPr>
            </w:pPr>
          </w:p>
        </w:tc>
        <w:tc>
          <w:tcPr>
            <w:tcW w:w="1040"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литейный </w:t>
            </w:r>
          </w:p>
        </w:tc>
        <w:tc>
          <w:tcPr>
            <w:tcW w:w="973"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Механический </w:t>
            </w:r>
          </w:p>
        </w:tc>
        <w:tc>
          <w:tcPr>
            <w:tcW w:w="973"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гальванический </w:t>
            </w:r>
          </w:p>
        </w:tc>
        <w:tc>
          <w:tcPr>
            <w:tcW w:w="1039"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сборочный </w:t>
            </w:r>
          </w:p>
        </w:tc>
      </w:tr>
      <w:tr w:rsidR="00BB5084" w:rsidRPr="00906560">
        <w:trPr>
          <w:tblCellSpacing w:w="15" w:type="dxa"/>
        </w:trPr>
        <w:tc>
          <w:tcPr>
            <w:tcW w:w="887" w:type="pct"/>
            <w:vMerge/>
            <w:vAlign w:val="center"/>
          </w:tcPr>
          <w:p w:rsidR="00BB5084" w:rsidRPr="00906560" w:rsidRDefault="00BB5084" w:rsidP="00B368C3">
            <w:pPr>
              <w:rPr>
                <w:rFonts w:ascii="Times New Roman" w:hAnsi="Times New Roman" w:cs="Times New Roman"/>
                <w:sz w:val="24"/>
                <w:szCs w:val="24"/>
              </w:rPr>
            </w:pPr>
          </w:p>
        </w:tc>
        <w:tc>
          <w:tcPr>
            <w:tcW w:w="545"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сумма, тыс. руб. </w:t>
            </w:r>
          </w:p>
        </w:tc>
        <w:tc>
          <w:tcPr>
            <w:tcW w:w="48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доля, % </w:t>
            </w:r>
          </w:p>
        </w:tc>
        <w:tc>
          <w:tcPr>
            <w:tcW w:w="973" w:type="pct"/>
            <w:gridSpan w:val="2"/>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сумма,</w:t>
            </w:r>
            <w:r>
              <w:rPr>
                <w:rFonts w:ascii="Times New Roman" w:hAnsi="Times New Roman" w:cs="Times New Roman"/>
                <w:sz w:val="24"/>
                <w:szCs w:val="24"/>
              </w:rPr>
              <w:t xml:space="preserve"> </w:t>
            </w:r>
            <w:r w:rsidRPr="00906560">
              <w:rPr>
                <w:rFonts w:ascii="Times New Roman" w:hAnsi="Times New Roman" w:cs="Times New Roman"/>
                <w:sz w:val="24"/>
                <w:szCs w:val="24"/>
              </w:rPr>
              <w:t>доля, тыс. руб.</w:t>
            </w:r>
            <w:r>
              <w:rPr>
                <w:rFonts w:ascii="Times New Roman" w:hAnsi="Times New Roman" w:cs="Times New Roman"/>
                <w:sz w:val="24"/>
                <w:szCs w:val="24"/>
              </w:rPr>
              <w:t xml:space="preserve"> </w:t>
            </w:r>
            <w:r w:rsidRPr="00906560">
              <w:rPr>
                <w:rFonts w:ascii="Times New Roman" w:hAnsi="Times New Roman" w:cs="Times New Roman"/>
                <w:sz w:val="24"/>
                <w:szCs w:val="24"/>
              </w:rPr>
              <w:t xml:space="preserve">% </w:t>
            </w:r>
          </w:p>
        </w:tc>
        <w:tc>
          <w:tcPr>
            <w:tcW w:w="973" w:type="pct"/>
            <w:gridSpan w:val="2"/>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сумма,</w:t>
            </w:r>
            <w:r>
              <w:rPr>
                <w:rFonts w:ascii="Times New Roman" w:hAnsi="Times New Roman" w:cs="Times New Roman"/>
                <w:sz w:val="24"/>
                <w:szCs w:val="24"/>
              </w:rPr>
              <w:t xml:space="preserve"> </w:t>
            </w:r>
            <w:r w:rsidRPr="00906560">
              <w:rPr>
                <w:rFonts w:ascii="Times New Roman" w:hAnsi="Times New Roman" w:cs="Times New Roman"/>
                <w:sz w:val="24"/>
                <w:szCs w:val="24"/>
              </w:rPr>
              <w:t>доля, тыс. руб.</w:t>
            </w:r>
            <w:r>
              <w:rPr>
                <w:rFonts w:ascii="Times New Roman" w:hAnsi="Times New Roman" w:cs="Times New Roman"/>
                <w:sz w:val="24"/>
                <w:szCs w:val="24"/>
              </w:rPr>
              <w:t xml:space="preserve"> </w:t>
            </w:r>
            <w:r w:rsidRPr="00906560">
              <w:rPr>
                <w:rFonts w:ascii="Times New Roman" w:hAnsi="Times New Roman" w:cs="Times New Roman"/>
                <w:sz w:val="24"/>
                <w:szCs w:val="24"/>
              </w:rPr>
              <w:t xml:space="preserve">% </w:t>
            </w:r>
          </w:p>
        </w:tc>
        <w:tc>
          <w:tcPr>
            <w:tcW w:w="545"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сумма, тыс. руб. </w:t>
            </w:r>
          </w:p>
        </w:tc>
        <w:tc>
          <w:tcPr>
            <w:tcW w:w="47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доля, % </w:t>
            </w:r>
          </w:p>
        </w:tc>
      </w:tr>
      <w:tr w:rsidR="00BB5084" w:rsidRPr="00906560">
        <w:trPr>
          <w:tblCellSpacing w:w="15" w:type="dxa"/>
        </w:trPr>
        <w:tc>
          <w:tcPr>
            <w:tcW w:w="88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Материальные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1 785,6 </w:t>
            </w:r>
          </w:p>
        </w:tc>
        <w:tc>
          <w:tcPr>
            <w:tcW w:w="48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63,6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1 713,2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51,8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1 376,8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56,9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1 425,7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45,0 </w:t>
            </w:r>
          </w:p>
        </w:tc>
      </w:tr>
      <w:tr w:rsidR="00BB5084" w:rsidRPr="00906560">
        <w:trPr>
          <w:tblCellSpacing w:w="15" w:type="dxa"/>
        </w:trPr>
        <w:tc>
          <w:tcPr>
            <w:tcW w:w="88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Трудовые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494,2 </w:t>
            </w:r>
          </w:p>
        </w:tc>
        <w:tc>
          <w:tcPr>
            <w:tcW w:w="48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17,6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930,6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28,1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575,9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23,8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942,1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29,8 </w:t>
            </w:r>
          </w:p>
        </w:tc>
      </w:tr>
      <w:tr w:rsidR="00BB5084" w:rsidRPr="00906560">
        <w:trPr>
          <w:tblCellSpacing w:w="15" w:type="dxa"/>
        </w:trPr>
        <w:tc>
          <w:tcPr>
            <w:tcW w:w="88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отчисления на социальное страхование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143,2 </w:t>
            </w:r>
          </w:p>
        </w:tc>
        <w:tc>
          <w:tcPr>
            <w:tcW w:w="48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5,1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269,8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8,2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167,0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6,9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273,1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8,6 </w:t>
            </w:r>
          </w:p>
        </w:tc>
      </w:tr>
      <w:tr w:rsidR="00BB5084" w:rsidRPr="00906560">
        <w:trPr>
          <w:tblCellSpacing w:w="15" w:type="dxa"/>
        </w:trPr>
        <w:tc>
          <w:tcPr>
            <w:tcW w:w="88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Амортизация основных средств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126,5 </w:t>
            </w:r>
          </w:p>
        </w:tc>
        <w:tc>
          <w:tcPr>
            <w:tcW w:w="48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4,5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104,4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3,2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87,7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3,6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190,6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6,0 </w:t>
            </w:r>
          </w:p>
        </w:tc>
      </w:tr>
      <w:tr w:rsidR="00BB5084" w:rsidRPr="00906560">
        <w:trPr>
          <w:tblCellSpacing w:w="15" w:type="dxa"/>
        </w:trPr>
        <w:tc>
          <w:tcPr>
            <w:tcW w:w="88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Прочие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257,5 </w:t>
            </w:r>
          </w:p>
        </w:tc>
        <w:tc>
          <w:tcPr>
            <w:tcW w:w="48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9,2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289,4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8,7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212,1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8,8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332,7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10,6 </w:t>
            </w:r>
          </w:p>
        </w:tc>
      </w:tr>
      <w:tr w:rsidR="00BB5084" w:rsidRPr="00906560">
        <w:trPr>
          <w:tblCellSpacing w:w="15" w:type="dxa"/>
        </w:trPr>
        <w:tc>
          <w:tcPr>
            <w:tcW w:w="88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2 807,0 </w:t>
            </w:r>
          </w:p>
        </w:tc>
        <w:tc>
          <w:tcPr>
            <w:tcW w:w="48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3 307,4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2 419,5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c>
          <w:tcPr>
            <w:tcW w:w="54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3 164,2 </w:t>
            </w:r>
          </w:p>
        </w:tc>
        <w:tc>
          <w:tcPr>
            <w:tcW w:w="4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Один из способов контроля затрат основных цехов предприятия — сопоставление итогов табл. 3 и 4. Как видим, калькулирование себестоимости продукции основных цехов по экономическим элементам и статьям в рассматриваемом примере проведено правильно.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4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2729"/>
        <w:gridCol w:w="1450"/>
        <w:gridCol w:w="1896"/>
        <w:gridCol w:w="1991"/>
        <w:gridCol w:w="1662"/>
      </w:tblGrid>
      <w:tr w:rsidR="00BB5084" w:rsidRPr="00906560">
        <w:trPr>
          <w:tblCellSpacing w:w="15" w:type="dxa"/>
        </w:trPr>
        <w:tc>
          <w:tcPr>
            <w:tcW w:w="1393" w:type="pct"/>
            <w:vMerge w:val="restart"/>
          </w:tcPr>
          <w:p w:rsidR="00BB5084" w:rsidRDefault="00BB5084" w:rsidP="00B368C3">
            <w:pPr>
              <w:rPr>
                <w:rFonts w:ascii="Times New Roman" w:hAnsi="Times New Roman" w:cs="Times New Roman"/>
                <w:sz w:val="24"/>
                <w:szCs w:val="24"/>
              </w:rPr>
            </w:pP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статья расходов </w:t>
            </w:r>
          </w:p>
        </w:tc>
        <w:tc>
          <w:tcPr>
            <w:tcW w:w="3562" w:type="pct"/>
            <w:gridSpan w:val="4"/>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цеха основного производства </w:t>
            </w:r>
          </w:p>
        </w:tc>
      </w:tr>
      <w:tr w:rsidR="00BB5084" w:rsidRPr="00906560">
        <w:trPr>
          <w:tblCellSpacing w:w="15" w:type="dxa"/>
        </w:trPr>
        <w:tc>
          <w:tcPr>
            <w:tcW w:w="1393" w:type="pct"/>
            <w:vMerge/>
            <w:vAlign w:val="center"/>
          </w:tcPr>
          <w:p w:rsidR="00BB5084" w:rsidRPr="00906560" w:rsidRDefault="00BB5084" w:rsidP="00B368C3">
            <w:pPr>
              <w:rPr>
                <w:rFonts w:ascii="Times New Roman" w:hAnsi="Times New Roman" w:cs="Times New Roman"/>
                <w:sz w:val="24"/>
                <w:szCs w:val="24"/>
              </w:rPr>
            </w:pPr>
          </w:p>
        </w:tc>
        <w:tc>
          <w:tcPr>
            <w:tcW w:w="737"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литейный </w:t>
            </w:r>
          </w:p>
        </w:tc>
        <w:tc>
          <w:tcPr>
            <w:tcW w:w="968"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Механический </w:t>
            </w:r>
          </w:p>
        </w:tc>
        <w:tc>
          <w:tcPr>
            <w:tcW w:w="1018"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гальванический </w:t>
            </w:r>
          </w:p>
        </w:tc>
        <w:tc>
          <w:tcPr>
            <w:tcW w:w="793"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сборочный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Сырье и материалы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1 652,8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1 587,4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1 262,7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1 285,2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Возвратные отходы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(25,2)*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Зарплата основных производственных рабочих (оПР)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390,2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784,4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453,9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752,2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отчисления на социальное страхование оПР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113,2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227,4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131,6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218,1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Расходы на энергию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114,6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122,3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96,4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123,9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на ремонт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41,3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83,6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65,1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82,6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Транспортные расходы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31,9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44,5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35,1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42,1 </w:t>
            </w:r>
          </w:p>
        </w:tc>
      </w:tr>
      <w:tr w:rsidR="00BB5084" w:rsidRPr="00906560">
        <w:trPr>
          <w:tblCellSpacing w:w="15" w:type="dxa"/>
        </w:trPr>
        <w:tc>
          <w:tcPr>
            <w:tcW w:w="1393" w:type="pct"/>
            <w:vAlign w:val="center"/>
          </w:tcPr>
          <w:p w:rsidR="00BB5084"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Расходы на содержание </w:t>
            </w: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 эксплуатацию оборудования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237,2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253,5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198,1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393,5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общепроизводственные расходы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162,2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190,6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139,5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206,6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Компенсация брака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(47,6)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(28,8)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Потери от брака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39,0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23,9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29,1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22,9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Прочие производственные расходы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24,6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62,6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8,0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65,9 </w:t>
            </w:r>
          </w:p>
        </w:tc>
      </w:tr>
      <w:tr w:rsidR="00BB5084" w:rsidRPr="00906560">
        <w:trPr>
          <w:tblCellSpacing w:w="15" w:type="dxa"/>
        </w:trPr>
        <w:tc>
          <w:tcPr>
            <w:tcW w:w="13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73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2 807,0 </w:t>
            </w:r>
          </w:p>
        </w:tc>
        <w:tc>
          <w:tcPr>
            <w:tcW w:w="96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3 307,4 </w:t>
            </w:r>
          </w:p>
        </w:tc>
        <w:tc>
          <w:tcPr>
            <w:tcW w:w="10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2 419,5 </w:t>
            </w:r>
          </w:p>
        </w:tc>
        <w:tc>
          <w:tcPr>
            <w:tcW w:w="793"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3 164,2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 Здесь и далее в таблице число в скобках — со знаком «минус».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Учет затрат вспомогательных цехов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Поскольку доля затрат вспомогательных производств в общем объеме производства невелика, специальные статьи расходов не выделяются, а калькулирование проводится только по элементам затрат с учетом взаимных услуг (см. табл. 5).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Таблица 5</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2302"/>
        <w:gridCol w:w="1349"/>
        <w:gridCol w:w="1163"/>
        <w:gridCol w:w="1150"/>
        <w:gridCol w:w="1178"/>
        <w:gridCol w:w="1349"/>
        <w:gridCol w:w="1237"/>
      </w:tblGrid>
      <w:tr w:rsidR="00BB5084" w:rsidRPr="00906560">
        <w:trPr>
          <w:tblCellSpacing w:w="15" w:type="dxa"/>
        </w:trPr>
        <w:tc>
          <w:tcPr>
            <w:tcW w:w="1179" w:type="pct"/>
            <w:vMerge w:val="restar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вид затрат </w:t>
            </w:r>
          </w:p>
        </w:tc>
        <w:tc>
          <w:tcPr>
            <w:tcW w:w="3777" w:type="pct"/>
            <w:gridSpan w:val="6"/>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вспомогательные цеха </w:t>
            </w:r>
          </w:p>
        </w:tc>
      </w:tr>
      <w:tr w:rsidR="00BB5084" w:rsidRPr="00906560">
        <w:trPr>
          <w:tblCellSpacing w:w="15" w:type="dxa"/>
        </w:trPr>
        <w:tc>
          <w:tcPr>
            <w:tcW w:w="1179" w:type="pct"/>
            <w:vMerge/>
            <w:vAlign w:val="center"/>
          </w:tcPr>
          <w:p w:rsidR="00BB5084" w:rsidRPr="00906560" w:rsidRDefault="00BB5084" w:rsidP="00B368C3">
            <w:pPr>
              <w:rPr>
                <w:rFonts w:ascii="Times New Roman" w:hAnsi="Times New Roman" w:cs="Times New Roman"/>
                <w:sz w:val="24"/>
                <w:szCs w:val="24"/>
              </w:rPr>
            </w:pPr>
          </w:p>
        </w:tc>
        <w:tc>
          <w:tcPr>
            <w:tcW w:w="1281"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энергетический </w:t>
            </w:r>
          </w:p>
        </w:tc>
        <w:tc>
          <w:tcPr>
            <w:tcW w:w="1185"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ремонтный </w:t>
            </w:r>
          </w:p>
        </w:tc>
        <w:tc>
          <w:tcPr>
            <w:tcW w:w="1281"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транспортный </w:t>
            </w:r>
          </w:p>
        </w:tc>
      </w:tr>
      <w:tr w:rsidR="00BB5084" w:rsidRPr="00906560">
        <w:trPr>
          <w:tblCellSpacing w:w="15" w:type="dxa"/>
        </w:trPr>
        <w:tc>
          <w:tcPr>
            <w:tcW w:w="1179" w:type="pct"/>
            <w:vMerge/>
            <w:vAlign w:val="center"/>
          </w:tcPr>
          <w:p w:rsidR="00BB5084" w:rsidRPr="00906560" w:rsidRDefault="00BB5084" w:rsidP="00B368C3">
            <w:pPr>
              <w:rPr>
                <w:rFonts w:ascii="Times New Roman" w:hAnsi="Times New Roman" w:cs="Times New Roman"/>
                <w:sz w:val="24"/>
                <w:szCs w:val="24"/>
              </w:rPr>
            </w:pPr>
          </w:p>
        </w:tc>
        <w:tc>
          <w:tcPr>
            <w:tcW w:w="68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сумма, тыс. руб. </w:t>
            </w:r>
          </w:p>
        </w:tc>
        <w:tc>
          <w:tcPr>
            <w:tcW w:w="577"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доля, % </w:t>
            </w:r>
          </w:p>
        </w:tc>
        <w:tc>
          <w:tcPr>
            <w:tcW w:w="1185"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сумма,</w:t>
            </w:r>
            <w:r>
              <w:rPr>
                <w:rFonts w:ascii="Times New Roman" w:hAnsi="Times New Roman" w:cs="Times New Roman"/>
                <w:sz w:val="24"/>
                <w:szCs w:val="24"/>
              </w:rPr>
              <w:t xml:space="preserve"> </w:t>
            </w:r>
            <w:r w:rsidRPr="00906560">
              <w:rPr>
                <w:rFonts w:ascii="Times New Roman" w:hAnsi="Times New Roman" w:cs="Times New Roman"/>
                <w:sz w:val="24"/>
                <w:szCs w:val="24"/>
              </w:rPr>
              <w:t xml:space="preserve">доля, % тыс. руб. </w:t>
            </w:r>
          </w:p>
        </w:tc>
        <w:tc>
          <w:tcPr>
            <w:tcW w:w="68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сумма, тыс. руб. </w:t>
            </w:r>
          </w:p>
        </w:tc>
        <w:tc>
          <w:tcPr>
            <w:tcW w:w="577"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доля, % </w:t>
            </w:r>
          </w:p>
        </w:tc>
      </w:tr>
      <w:tr w:rsidR="00BB5084" w:rsidRPr="00906560">
        <w:trPr>
          <w:tblCellSpacing w:w="15" w:type="dxa"/>
        </w:trPr>
        <w:tc>
          <w:tcPr>
            <w:tcW w:w="11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Материальные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272,4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52,5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207,6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59,4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92,9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49,5 </w:t>
            </w:r>
          </w:p>
        </w:tc>
      </w:tr>
      <w:tr w:rsidR="00BB5084" w:rsidRPr="00906560">
        <w:trPr>
          <w:tblCellSpacing w:w="15" w:type="dxa"/>
        </w:trPr>
        <w:tc>
          <w:tcPr>
            <w:tcW w:w="11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Трудовые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139,4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26,9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76,8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21,9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52,2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27,8 </w:t>
            </w:r>
          </w:p>
        </w:tc>
      </w:tr>
      <w:tr w:rsidR="00BB5084" w:rsidRPr="00906560">
        <w:trPr>
          <w:tblCellSpacing w:w="15" w:type="dxa"/>
        </w:trPr>
        <w:tc>
          <w:tcPr>
            <w:tcW w:w="11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отчисления в социальные фонды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40,4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7,8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22,3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6,4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15,1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8,1 </w:t>
            </w:r>
          </w:p>
        </w:tc>
      </w:tr>
      <w:tr w:rsidR="00BB5084" w:rsidRPr="00906560">
        <w:trPr>
          <w:tblCellSpacing w:w="15" w:type="dxa"/>
        </w:trPr>
        <w:tc>
          <w:tcPr>
            <w:tcW w:w="11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Амортизация оборудования и помещений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18,5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3,6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14,5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4,1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9,4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5,0 </w:t>
            </w:r>
          </w:p>
        </w:tc>
      </w:tr>
      <w:tr w:rsidR="00BB5084" w:rsidRPr="00906560">
        <w:trPr>
          <w:tblCellSpacing w:w="15" w:type="dxa"/>
        </w:trPr>
        <w:tc>
          <w:tcPr>
            <w:tcW w:w="11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Прочие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47,8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9,2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28,6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8,2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18,1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9,6 </w:t>
            </w:r>
          </w:p>
        </w:tc>
      </w:tr>
      <w:tr w:rsidR="00BB5084" w:rsidRPr="00906560">
        <w:trPr>
          <w:tblCellSpacing w:w="15" w:type="dxa"/>
        </w:trPr>
        <w:tc>
          <w:tcPr>
            <w:tcW w:w="117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518,5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349,8 </w:t>
            </w:r>
          </w:p>
        </w:tc>
        <w:tc>
          <w:tcPr>
            <w:tcW w:w="58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c>
          <w:tcPr>
            <w:tcW w:w="68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187,7 </w:t>
            </w:r>
          </w:p>
        </w:tc>
        <w:tc>
          <w:tcPr>
            <w:tcW w:w="57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Учет общехозяйственных затрат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Общехозяйственные подразделения выполняют на предприятии важные и точно объемные по суммам расходов работы, поэтому их затраты группируются как по экономическим элементам (табл. 6), так и по статьям расходов (табл. 7), причем последние существенно отличаются от тех, которые используются при группировке затрат основных производственных цехов.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6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2191"/>
        <w:gridCol w:w="1429"/>
        <w:gridCol w:w="1153"/>
        <w:gridCol w:w="1136"/>
        <w:gridCol w:w="1165"/>
        <w:gridCol w:w="1429"/>
        <w:gridCol w:w="1225"/>
      </w:tblGrid>
      <w:tr w:rsidR="00BB5084" w:rsidRPr="00906560">
        <w:trPr>
          <w:tblCellSpacing w:w="15" w:type="dxa"/>
        </w:trPr>
        <w:tc>
          <w:tcPr>
            <w:tcW w:w="1121" w:type="pct"/>
            <w:vMerge w:val="restart"/>
          </w:tcPr>
          <w:p w:rsidR="00BB5084" w:rsidRDefault="00BB5084" w:rsidP="00B368C3">
            <w:pPr>
              <w:rPr>
                <w:rFonts w:ascii="Times New Roman" w:hAnsi="Times New Roman" w:cs="Times New Roman"/>
                <w:sz w:val="24"/>
                <w:szCs w:val="24"/>
              </w:rPr>
            </w:pP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вид затрат </w:t>
            </w:r>
          </w:p>
        </w:tc>
        <w:tc>
          <w:tcPr>
            <w:tcW w:w="3834" w:type="pct"/>
            <w:gridSpan w:val="6"/>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общехозяйственные подразделения </w:t>
            </w:r>
          </w:p>
        </w:tc>
      </w:tr>
      <w:tr w:rsidR="00BB5084" w:rsidRPr="00906560">
        <w:trPr>
          <w:tblCellSpacing w:w="15" w:type="dxa"/>
        </w:trPr>
        <w:tc>
          <w:tcPr>
            <w:tcW w:w="1121" w:type="pct"/>
            <w:vMerge/>
            <w:vAlign w:val="center"/>
          </w:tcPr>
          <w:p w:rsidR="00BB5084" w:rsidRPr="00906560" w:rsidRDefault="00BB5084" w:rsidP="00B368C3">
            <w:pPr>
              <w:rPr>
                <w:rFonts w:ascii="Times New Roman" w:hAnsi="Times New Roman" w:cs="Times New Roman"/>
                <w:sz w:val="24"/>
                <w:szCs w:val="24"/>
              </w:rPr>
            </w:pPr>
          </w:p>
        </w:tc>
        <w:tc>
          <w:tcPr>
            <w:tcW w:w="1317"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конструкторское бюро </w:t>
            </w:r>
          </w:p>
        </w:tc>
        <w:tc>
          <w:tcPr>
            <w:tcW w:w="1171"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технический отдел </w:t>
            </w:r>
          </w:p>
        </w:tc>
        <w:tc>
          <w:tcPr>
            <w:tcW w:w="1317"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заводоуправление </w:t>
            </w:r>
          </w:p>
        </w:tc>
      </w:tr>
      <w:tr w:rsidR="00BB5084" w:rsidRPr="00906560">
        <w:trPr>
          <w:tblCellSpacing w:w="15" w:type="dxa"/>
        </w:trPr>
        <w:tc>
          <w:tcPr>
            <w:tcW w:w="1121" w:type="pct"/>
            <w:vMerge/>
            <w:vAlign w:val="center"/>
          </w:tcPr>
          <w:p w:rsidR="00BB5084" w:rsidRPr="00906560" w:rsidRDefault="00BB5084" w:rsidP="00B368C3">
            <w:pPr>
              <w:rPr>
                <w:rFonts w:ascii="Times New Roman" w:hAnsi="Times New Roman" w:cs="Times New Roman"/>
                <w:sz w:val="24"/>
                <w:szCs w:val="24"/>
              </w:rPr>
            </w:pPr>
          </w:p>
        </w:tc>
        <w:tc>
          <w:tcPr>
            <w:tcW w:w="73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суММа, тыс. руб. </w:t>
            </w:r>
          </w:p>
        </w:tc>
        <w:tc>
          <w:tcPr>
            <w:tcW w:w="572"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доля, % </w:t>
            </w:r>
          </w:p>
        </w:tc>
        <w:tc>
          <w:tcPr>
            <w:tcW w:w="1171"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суММа,</w:t>
            </w:r>
            <w:r>
              <w:rPr>
                <w:rFonts w:ascii="Times New Roman" w:hAnsi="Times New Roman" w:cs="Times New Roman"/>
                <w:sz w:val="24"/>
                <w:szCs w:val="24"/>
              </w:rPr>
              <w:t xml:space="preserve"> </w:t>
            </w:r>
            <w:r w:rsidRPr="00906560">
              <w:rPr>
                <w:rFonts w:ascii="Times New Roman" w:hAnsi="Times New Roman" w:cs="Times New Roman"/>
                <w:sz w:val="24"/>
                <w:szCs w:val="24"/>
              </w:rPr>
              <w:t xml:space="preserve">доля, % тыс. руб. </w:t>
            </w:r>
          </w:p>
        </w:tc>
        <w:tc>
          <w:tcPr>
            <w:tcW w:w="73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суММа, тыс. руб. </w:t>
            </w:r>
          </w:p>
        </w:tc>
        <w:tc>
          <w:tcPr>
            <w:tcW w:w="572"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доля, %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Материальные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56,8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20,1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116,9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27,2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270,3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26,2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Трудовые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99,4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35,2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174,5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40,6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468,3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45,4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отчисления в социальные фонды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28,8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10,2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50,6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11,8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136,2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13,2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Амортизация оборудования и помещений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23,4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8,3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18,5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4,3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95,9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9,3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Прочие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74,0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26,2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69,3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16,1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60,9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5,9 </w:t>
            </w:r>
          </w:p>
        </w:tc>
      </w:tr>
      <w:tr w:rsidR="00BB5084" w:rsidRPr="00906560">
        <w:trPr>
          <w:tblCellSpacing w:w="15" w:type="dxa"/>
        </w:trPr>
        <w:tc>
          <w:tcPr>
            <w:tcW w:w="1121"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282,4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429,8 </w:t>
            </w:r>
          </w:p>
        </w:tc>
        <w:tc>
          <w:tcPr>
            <w:tcW w:w="57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c>
          <w:tcPr>
            <w:tcW w:w="730"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1031,6 </w:t>
            </w:r>
          </w:p>
        </w:tc>
        <w:tc>
          <w:tcPr>
            <w:tcW w:w="57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100,0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7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2994"/>
        <w:gridCol w:w="2343"/>
        <w:gridCol w:w="1932"/>
        <w:gridCol w:w="2459"/>
      </w:tblGrid>
      <w:tr w:rsidR="00BB5084" w:rsidRPr="00906560">
        <w:trPr>
          <w:tblCellSpacing w:w="15" w:type="dxa"/>
        </w:trPr>
        <w:tc>
          <w:tcPr>
            <w:tcW w:w="1526" w:type="pct"/>
            <w:vMerge w:val="restart"/>
          </w:tcPr>
          <w:p w:rsidR="00BB5084" w:rsidRDefault="00BB5084" w:rsidP="00B368C3">
            <w:pPr>
              <w:rPr>
                <w:rFonts w:ascii="Times New Roman" w:hAnsi="Times New Roman" w:cs="Times New Roman"/>
                <w:sz w:val="24"/>
                <w:szCs w:val="24"/>
              </w:rPr>
            </w:pP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статья расходов </w:t>
            </w:r>
          </w:p>
        </w:tc>
        <w:tc>
          <w:tcPr>
            <w:tcW w:w="3430" w:type="pct"/>
            <w:gridSpan w:val="3"/>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общехозяйственные подразделения </w:t>
            </w:r>
          </w:p>
        </w:tc>
      </w:tr>
      <w:tr w:rsidR="00BB5084" w:rsidRPr="00906560">
        <w:trPr>
          <w:tblCellSpacing w:w="15" w:type="dxa"/>
        </w:trPr>
        <w:tc>
          <w:tcPr>
            <w:tcW w:w="1526" w:type="pct"/>
            <w:vMerge/>
            <w:vAlign w:val="center"/>
          </w:tcPr>
          <w:p w:rsidR="00BB5084" w:rsidRPr="00906560" w:rsidRDefault="00BB5084" w:rsidP="00B368C3">
            <w:pPr>
              <w:rPr>
                <w:rFonts w:ascii="Times New Roman" w:hAnsi="Times New Roman" w:cs="Times New Roman"/>
                <w:sz w:val="24"/>
                <w:szCs w:val="24"/>
              </w:rPr>
            </w:pPr>
          </w:p>
        </w:tc>
        <w:tc>
          <w:tcPr>
            <w:tcW w:w="1197"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конструкторское бюро </w:t>
            </w:r>
          </w:p>
        </w:tc>
        <w:tc>
          <w:tcPr>
            <w:tcW w:w="984"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технический отдел </w:t>
            </w:r>
          </w:p>
        </w:tc>
        <w:tc>
          <w:tcPr>
            <w:tcW w:w="1218"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заводоуправление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Канцелярские товары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56,8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35,1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189,2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Материалы для испытаний и ремонта офиса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81,8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81,1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оплата труда аппарата заводоуправления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327,8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отчисления на социальные нужды аппарата управления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95,3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оплата труда персонала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99,4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174,5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140,5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отчисления на социальное страхование персонала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28,8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50,6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40,8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Амортизация помещений и оборудования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23,4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18,5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96,0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Командировки и перемещения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4,4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24,8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Амортизация нематериальных активов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6,2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7,3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налоговые платежи, включаемые в себестоимость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35,3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34,4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36,1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Производственные испытания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9,0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Прочие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29,7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14,2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r>
      <w:tr w:rsidR="00BB5084" w:rsidRPr="00906560">
        <w:trPr>
          <w:tblCellSpacing w:w="15" w:type="dxa"/>
        </w:trPr>
        <w:tc>
          <w:tcPr>
            <w:tcW w:w="152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1197"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282,4 </w:t>
            </w:r>
          </w:p>
        </w:tc>
        <w:tc>
          <w:tcPr>
            <w:tcW w:w="98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429,8 </w:t>
            </w:r>
          </w:p>
        </w:tc>
        <w:tc>
          <w:tcPr>
            <w:tcW w:w="1218"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1031,6 </w:t>
            </w:r>
          </w:p>
        </w:tc>
      </w:tr>
    </w:tbl>
    <w:p w:rsidR="00BB5084" w:rsidRPr="00906560" w:rsidRDefault="00BB5084" w:rsidP="00BB5084">
      <w:pPr>
        <w:spacing w:before="120"/>
        <w:jc w:val="center"/>
        <w:rPr>
          <w:rFonts w:ascii="Times New Roman" w:hAnsi="Times New Roman" w:cs="Times New Roman"/>
          <w:b/>
          <w:bCs/>
          <w:sz w:val="28"/>
          <w:szCs w:val="28"/>
        </w:rPr>
      </w:pPr>
      <w:r w:rsidRPr="00906560">
        <w:rPr>
          <w:rFonts w:ascii="Times New Roman" w:hAnsi="Times New Roman" w:cs="Times New Roman"/>
          <w:b/>
          <w:bCs/>
          <w:sz w:val="28"/>
          <w:szCs w:val="28"/>
        </w:rPr>
        <w:t xml:space="preserve">Сводный учет затрат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В таблице 8 показан расчет цеховой ежемесячной производственной себестоимости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продукции в соответствии с калькуляцией по счетам бухгалтерского учета (табл. 4) с учетом объемов незавершенного производства (табл. 2).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8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4416"/>
        <w:gridCol w:w="1342"/>
        <w:gridCol w:w="2695"/>
        <w:gridCol w:w="1275"/>
      </w:tblGrid>
      <w:tr w:rsidR="00BB5084" w:rsidRPr="00906560">
        <w:trPr>
          <w:tblCellSpacing w:w="15" w:type="dxa"/>
        </w:trPr>
        <w:tc>
          <w:tcPr>
            <w:tcW w:w="2932" w:type="pct"/>
            <w:gridSpan w:val="2"/>
          </w:tcPr>
          <w:p w:rsidR="00BB5084" w:rsidRDefault="00BB5084" w:rsidP="00B368C3">
            <w:pPr>
              <w:rPr>
                <w:rFonts w:ascii="Times New Roman" w:hAnsi="Times New Roman" w:cs="Times New Roman"/>
                <w:sz w:val="24"/>
                <w:szCs w:val="24"/>
              </w:rPr>
            </w:pP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списываемые на расходы основного производства (в дебет счета 20) </w:t>
            </w:r>
          </w:p>
        </w:tc>
        <w:tc>
          <w:tcPr>
            <w:tcW w:w="1375"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незавершенное производство* </w:t>
            </w:r>
          </w:p>
        </w:tc>
        <w:tc>
          <w:tcPr>
            <w:tcW w:w="634"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Материальные затраты (счет 10)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5 788,1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11,1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5 799,2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вспомогательных производств (счет 23)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883,3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883,3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общепроизводственные расходы (счет 25)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1 781,2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3,4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1 784,6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Потери от брака (счет 28)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38,5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38,5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Прочие производственные расходы (счета 60, 76, 97)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161,1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161,1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на социальное страхование (счет 69)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690,3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691,7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на оплату труда (счет 70)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2 380,7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4,5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2 385,2 </w:t>
            </w:r>
          </w:p>
        </w:tc>
      </w:tr>
      <w:tr w:rsidR="00BB5084" w:rsidRPr="00906560">
        <w:trPr>
          <w:tblCellSpacing w:w="15" w:type="dxa"/>
        </w:trPr>
        <w:tc>
          <w:tcPr>
            <w:tcW w:w="225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662"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11 723,2 </w:t>
            </w:r>
          </w:p>
        </w:tc>
        <w:tc>
          <w:tcPr>
            <w:tcW w:w="1375"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20,4 </w:t>
            </w:r>
          </w:p>
        </w:tc>
        <w:tc>
          <w:tcPr>
            <w:tcW w:w="634"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11 743,6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 Разница показателей на начало и на конец месяца.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9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7622"/>
        <w:gridCol w:w="2106"/>
      </w:tblGrid>
      <w:tr w:rsidR="00BB5084" w:rsidRPr="00906560">
        <w:trPr>
          <w:tblCellSpacing w:w="15" w:type="dxa"/>
        </w:trPr>
        <w:tc>
          <w:tcPr>
            <w:tcW w:w="3896" w:type="pct"/>
          </w:tcPr>
          <w:p w:rsidR="00BB5084" w:rsidRDefault="00BB5084" w:rsidP="00B368C3">
            <w:pPr>
              <w:rPr>
                <w:rFonts w:ascii="Times New Roman" w:hAnsi="Times New Roman" w:cs="Times New Roman"/>
                <w:sz w:val="24"/>
                <w:szCs w:val="24"/>
              </w:rPr>
            </w:pP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относимые к общехозяйственныМ расходам (в дебет счета 26) </w:t>
            </w:r>
          </w:p>
        </w:tc>
        <w:tc>
          <w:tcPr>
            <w:tcW w:w="105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сумма, тыс. руб.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Амортизация основных средств (счет 02)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137,8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Амортизация нематериальных активов(счет 05)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13,5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Материалы (счет 10)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444,0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Вспомогательные производства (счет 23)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172,7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Расчеты с контрагентами, в том числе через подотчетных лиц (счета 60, 76, 71)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84,8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налоги и сборы (счет 68)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105,8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на социальное страхование (счет 69)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215,6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Затраты на оплату труда (счет 70)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742,2 </w:t>
            </w:r>
          </w:p>
        </w:tc>
      </w:tr>
      <w:tr w:rsidR="00BB5084" w:rsidRPr="00906560">
        <w:trPr>
          <w:tblCellSpacing w:w="15" w:type="dxa"/>
        </w:trPr>
        <w:tc>
          <w:tcPr>
            <w:tcW w:w="3896"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итого </w:t>
            </w:r>
          </w:p>
        </w:tc>
        <w:tc>
          <w:tcPr>
            <w:tcW w:w="1059" w:type="pct"/>
            <w:vAlign w:val="center"/>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1 916,4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Комплекс общезаводских расходов, включающих затраты на управление производством, разработку новых образцов продукции, совершенствование технологии ее изготовления, повышение ее качества и конкурентоспособности на рынке, а также на реализацию товарной продукции, представлен в табл. 9.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Полная фактическая себестоимость выпущенной продукции определяется путем суммирования сальдо по счетам 20 и 26: (11 743,6 тыс. руб. + 1916,4 тыс. руб.) = 13 660 тыс. руб.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Реализация выпущенной продукции в бухгалтерском учете оформляется следующими проводками: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43 — К 20 — принята на заводской склад готовая продукция на сумму цеховой себестоимости изготовленных изделий;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«Продажи» — К 43 — списана на реализацию цеховая себестоимость проданных изделий;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 К 26 — списаны на реализацию общезаводские затраты;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 К 68 «Расчеты по налогам и сборам» — начислен НДС от реализации продукции;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62 «Расчеты с покупателями и заказчиками» — К 90 — отражена выручка, ожидаемая к получению от заказчиков продукции;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 К 99 «Прибыли и убытки» — зафиксирована сумма прибыли от реализации продукции.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распределение затрат по типовым изделиям и определение отпускной цены каждого из них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Поскольку предприятие выпускает несколько изделий, отличающихся по мощности, дизайну, конструктивным особенностям и другим показателям, необходимо решить тесно увязанный с ценообразованием вопрос распределения затрат по видам изделий.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Планово-экономической группой предприятия по сведениям, полученным из конструкторского бюро и технологического отдела, расчетным путем установлены коэффициенты распределения цеховых затрат по типовым изделиям (см. табл. 10).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Данные коэффициенты используются для распределения цеховых (на счет 20) и общехозяйственных (на счет 26) затрат.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Пример. По плану, составленному на основе полученных заказов, в месяце было выпущено 145 изделий (№ 1 — 47 шт., № 2 — 43 шт. и № 3 — 55 шт.).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Применим средневзвешенные коэффициенты: это количество эквивалентно 178,85 условной единицы продукции [(47 шт. х 1) + (43 шт. х 1,25) + + (55 шт. х 1,42)].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Полная фактическая себестоимость одной условной единицы равна 76,4 тыс. руб. (13 660 тыс. руб. : : 178,85).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Затем определим цену одной условной единицы продукции по формуле: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ЦУЕ = СУЕ х /гС + П,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где Цуе — цена одной условной единицы продукции;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кС — средневзвешенный коэффициент;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Суе — полная фактическая себестоимость условной единицы продукции;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 — сумма планируемой прибыли.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Рассчитаем значения отпускных цен для различных видов изделий при планируемой рентабельности продукции 15%: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для изделия № 1 цена равна 87,9 тыс. руб. (76,4 тыс. руб. х 1,0 + 15%);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для изделия № 2 — 109,8 тыс. руб. (76,4 тыс. руб. х 1,25 + 15%);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для изделия № 3 — 124,8 тыс. руб. (76,4 тыс. руб. х 1,42 + 15%).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и конечно, эти цены увеличиваются на сумму нДС, который в нашем случае составит 18%. Таким образом, окончательные цены будут такими: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изделие № 1 — 103,7 тыс. руб. (87,9 тыс. руб. + 18%);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изделие № 2 — 129,6 тыс. руб. (109,8 тыс. руб. + 18%);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изделие № 3 — 147,3 тыс. руб. (124,8 тыс. руб. + 18%).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При реализации всей партии изделий текущего месяца в бухгалтерском учете делаются следующие записи: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 К 43 — 11 743,6 тыс. руб. — списана на реализацию цеховая себестоимость изделий;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Таблица 10 </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1266"/>
        <w:gridCol w:w="1422"/>
        <w:gridCol w:w="932"/>
        <w:gridCol w:w="959"/>
        <w:gridCol w:w="1584"/>
        <w:gridCol w:w="1277"/>
        <w:gridCol w:w="2288"/>
      </w:tblGrid>
      <w:tr w:rsidR="00BB5084" w:rsidRPr="00906560">
        <w:trPr>
          <w:tblCellSpacing w:w="15" w:type="dxa"/>
        </w:trPr>
        <w:tc>
          <w:tcPr>
            <w:tcW w:w="636" w:type="pct"/>
          </w:tcPr>
          <w:p w:rsidR="00BB5084" w:rsidRDefault="00BB5084" w:rsidP="00B368C3">
            <w:pPr>
              <w:rPr>
                <w:rFonts w:ascii="Times New Roman" w:hAnsi="Times New Roman" w:cs="Times New Roman"/>
                <w:sz w:val="24"/>
                <w:szCs w:val="24"/>
              </w:rPr>
            </w:pPr>
          </w:p>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вид </w:t>
            </w:r>
          </w:p>
        </w:tc>
        <w:tc>
          <w:tcPr>
            <w:tcW w:w="2488" w:type="pct"/>
            <w:gridSpan w:val="4"/>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цех </w:t>
            </w:r>
          </w:p>
        </w:tc>
        <w:tc>
          <w:tcPr>
            <w:tcW w:w="1817"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коэффициент (k) </w:t>
            </w:r>
          </w:p>
        </w:tc>
      </w:tr>
      <w:tr w:rsidR="00BB5084" w:rsidRPr="00906560">
        <w:trPr>
          <w:tblCellSpacing w:w="15" w:type="dxa"/>
        </w:trPr>
        <w:tc>
          <w:tcPr>
            <w:tcW w:w="63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изделия </w:t>
            </w:r>
          </w:p>
        </w:tc>
        <w:tc>
          <w:tcPr>
            <w:tcW w:w="725"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литейный </w:t>
            </w:r>
          </w:p>
        </w:tc>
        <w:tc>
          <w:tcPr>
            <w:tcW w:w="954" w:type="pct"/>
            <w:gridSpan w:val="2"/>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Механический</w:t>
            </w:r>
            <w:r>
              <w:rPr>
                <w:rFonts w:ascii="Times New Roman" w:hAnsi="Times New Roman" w:cs="Times New Roman"/>
                <w:sz w:val="24"/>
                <w:szCs w:val="24"/>
              </w:rPr>
              <w:t xml:space="preserve"> </w:t>
            </w:r>
            <w:r w:rsidRPr="00906560">
              <w:rPr>
                <w:rFonts w:ascii="Times New Roman" w:hAnsi="Times New Roman" w:cs="Times New Roman"/>
                <w:sz w:val="24"/>
                <w:szCs w:val="24"/>
              </w:rPr>
              <w:t xml:space="preserve">гальванический </w:t>
            </w:r>
          </w:p>
        </w:tc>
        <w:tc>
          <w:tcPr>
            <w:tcW w:w="77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сборочный </w:t>
            </w:r>
          </w:p>
        </w:tc>
        <w:tc>
          <w:tcPr>
            <w:tcW w:w="64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средний </w:t>
            </w:r>
          </w:p>
        </w:tc>
        <w:tc>
          <w:tcPr>
            <w:tcW w:w="1152"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средневзвешенный </w:t>
            </w:r>
          </w:p>
        </w:tc>
      </w:tr>
      <w:tr w:rsidR="00BB5084" w:rsidRPr="00906560">
        <w:trPr>
          <w:tblCellSpacing w:w="15" w:type="dxa"/>
        </w:trPr>
        <w:tc>
          <w:tcPr>
            <w:tcW w:w="63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1 </w:t>
            </w:r>
          </w:p>
        </w:tc>
        <w:tc>
          <w:tcPr>
            <w:tcW w:w="725"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 </w:t>
            </w:r>
          </w:p>
        </w:tc>
        <w:tc>
          <w:tcPr>
            <w:tcW w:w="47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 </w:t>
            </w:r>
          </w:p>
        </w:tc>
        <w:tc>
          <w:tcPr>
            <w:tcW w:w="47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 </w:t>
            </w:r>
          </w:p>
        </w:tc>
        <w:tc>
          <w:tcPr>
            <w:tcW w:w="77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 </w:t>
            </w:r>
          </w:p>
        </w:tc>
        <w:tc>
          <w:tcPr>
            <w:tcW w:w="64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 </w:t>
            </w:r>
          </w:p>
        </w:tc>
        <w:tc>
          <w:tcPr>
            <w:tcW w:w="1152"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1,0 </w:t>
            </w:r>
          </w:p>
        </w:tc>
      </w:tr>
      <w:tr w:rsidR="00BB5084" w:rsidRPr="00906560">
        <w:trPr>
          <w:tblCellSpacing w:w="15" w:type="dxa"/>
        </w:trPr>
        <w:tc>
          <w:tcPr>
            <w:tcW w:w="63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2 </w:t>
            </w:r>
          </w:p>
        </w:tc>
        <w:tc>
          <w:tcPr>
            <w:tcW w:w="725"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1,23 </w:t>
            </w:r>
          </w:p>
        </w:tc>
        <w:tc>
          <w:tcPr>
            <w:tcW w:w="47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 </w:t>
            </w:r>
          </w:p>
        </w:tc>
        <w:tc>
          <w:tcPr>
            <w:tcW w:w="47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1,1 </w:t>
            </w:r>
          </w:p>
        </w:tc>
        <w:tc>
          <w:tcPr>
            <w:tcW w:w="77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1,22 </w:t>
            </w:r>
          </w:p>
        </w:tc>
        <w:tc>
          <w:tcPr>
            <w:tcW w:w="64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1,24 </w:t>
            </w:r>
          </w:p>
        </w:tc>
        <w:tc>
          <w:tcPr>
            <w:tcW w:w="1152"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1,25 </w:t>
            </w:r>
          </w:p>
        </w:tc>
      </w:tr>
      <w:tr w:rsidR="00BB5084" w:rsidRPr="00906560">
        <w:trPr>
          <w:tblCellSpacing w:w="15" w:type="dxa"/>
        </w:trPr>
        <w:tc>
          <w:tcPr>
            <w:tcW w:w="636"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 3 </w:t>
            </w:r>
          </w:p>
        </w:tc>
        <w:tc>
          <w:tcPr>
            <w:tcW w:w="725"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1,35 </w:t>
            </w:r>
          </w:p>
        </w:tc>
        <w:tc>
          <w:tcPr>
            <w:tcW w:w="47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1,6 </w:t>
            </w:r>
          </w:p>
        </w:tc>
        <w:tc>
          <w:tcPr>
            <w:tcW w:w="470"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1,2 </w:t>
            </w:r>
          </w:p>
        </w:tc>
        <w:tc>
          <w:tcPr>
            <w:tcW w:w="77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1,48 </w:t>
            </w:r>
          </w:p>
        </w:tc>
        <w:tc>
          <w:tcPr>
            <w:tcW w:w="649"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1,41 </w:t>
            </w:r>
          </w:p>
        </w:tc>
        <w:tc>
          <w:tcPr>
            <w:tcW w:w="1152" w:type="pct"/>
          </w:tcPr>
          <w:p w:rsidR="00BB5084" w:rsidRPr="00906560" w:rsidRDefault="00BB5084" w:rsidP="00B368C3">
            <w:pPr>
              <w:rPr>
                <w:rFonts w:ascii="Times New Roman" w:hAnsi="Times New Roman" w:cs="Times New Roman"/>
                <w:sz w:val="24"/>
                <w:szCs w:val="24"/>
              </w:rPr>
            </w:pPr>
            <w:r w:rsidRPr="00906560">
              <w:rPr>
                <w:rFonts w:ascii="Times New Roman" w:hAnsi="Times New Roman" w:cs="Times New Roman"/>
                <w:sz w:val="24"/>
                <w:szCs w:val="24"/>
              </w:rPr>
              <w:t xml:space="preserve">1,42 </w:t>
            </w:r>
          </w:p>
        </w:tc>
      </w:tr>
    </w:tbl>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 К 26 — 1916,4 тыс. руб. — списаны на реализацию общезаводские затраты;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62 — К 90 — 18 548,2 тыс. руб.[(103,7 тыс. руб. х х 47 шт.) + (129,6 тыс. руб. х 43 шт.) + (147,3 тыс. руб. х х 55 шт.)] — отражена задолженность заказчиков;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 К 68 — 2829 тыс. руб. — начислен нДС 18% от реализации продукции;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 90 — К 99 — 2059,2 тыс. руб. — отражена сумма прибыли от реализации продукции. </w:t>
      </w:r>
    </w:p>
    <w:p w:rsidR="00BB5084" w:rsidRPr="00906560"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Отпускные цены на продукцию могут устанавливаться не только на основе фактической себестоимости с применением указанной в примере формулы, но и согласно разработанным нормативам и в соответствии с рыночными ценами на аналогичную продукцию. </w:t>
      </w:r>
    </w:p>
    <w:p w:rsidR="00BB5084" w:rsidRDefault="00BB5084" w:rsidP="00BB5084">
      <w:pPr>
        <w:spacing w:before="120"/>
        <w:ind w:firstLine="567"/>
        <w:jc w:val="both"/>
        <w:rPr>
          <w:rFonts w:ascii="Times New Roman" w:hAnsi="Times New Roman" w:cs="Times New Roman"/>
          <w:sz w:val="24"/>
          <w:szCs w:val="24"/>
        </w:rPr>
      </w:pPr>
      <w:r w:rsidRPr="00906560">
        <w:rPr>
          <w:rFonts w:ascii="Times New Roman" w:hAnsi="Times New Roman" w:cs="Times New Roman"/>
          <w:sz w:val="24"/>
          <w:szCs w:val="24"/>
        </w:rPr>
        <w:t xml:space="preserve">Действующее законодательство позволяет коммерческим предприятиям разрабатывать и внедрять индивидуальные методы бухгалтерского учета затрат и калькулирования себестоимости продукции. Для сокращения затрат на ведение бухгалтерского учета и достижения при этом достаточно полного и эффективного контроля расходов, включаемых в себестоимость продукции, руководству предприятия целесообразно использовать комбинированный метод калькулирования себестоимости, адаптированный к существующему технологическому процессу и способу управления. При разработке метода следует предусмотреть возможности использования обоснованных нормативов затрат и списания общезаводских расходов исключительно на объем реализованной в текущем периоде продукции. </w:t>
      </w:r>
    </w:p>
    <w:p w:rsidR="00BB5084" w:rsidRDefault="00BB5084" w:rsidP="00BB5084">
      <w:pPr>
        <w:spacing w:before="120"/>
        <w:ind w:firstLine="567"/>
        <w:jc w:val="both"/>
        <w:rPr>
          <w:rFonts w:ascii="Times New Roman" w:hAnsi="Times New Roman" w:cs="Times New Roman"/>
          <w:sz w:val="24"/>
          <w:szCs w:val="24"/>
        </w:rPr>
      </w:pPr>
      <w:bookmarkStart w:id="0" w:name="_GoBack"/>
      <w:bookmarkEnd w:id="0"/>
    </w:p>
    <w:sectPr w:rsidR="00BB5084"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5084"/>
    <w:rsid w:val="00051FB8"/>
    <w:rsid w:val="00095BA6"/>
    <w:rsid w:val="00210DB3"/>
    <w:rsid w:val="00302A90"/>
    <w:rsid w:val="0031418A"/>
    <w:rsid w:val="00350B15"/>
    <w:rsid w:val="00377A3D"/>
    <w:rsid w:val="003B534B"/>
    <w:rsid w:val="0052086C"/>
    <w:rsid w:val="00576F37"/>
    <w:rsid w:val="005A2562"/>
    <w:rsid w:val="00755964"/>
    <w:rsid w:val="007C239C"/>
    <w:rsid w:val="008C19D7"/>
    <w:rsid w:val="00906560"/>
    <w:rsid w:val="00A44D32"/>
    <w:rsid w:val="00B368C3"/>
    <w:rsid w:val="00BB5084"/>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AACBD02-F6BD-4C2D-AFE2-ADE3B6865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5084"/>
    <w:pPr>
      <w:widowControl w:val="0"/>
      <w:overflowPunct w:val="0"/>
      <w:autoSpaceDE w:val="0"/>
      <w:autoSpaceDN w:val="0"/>
      <w:adjustRightInd w:val="0"/>
      <w:spacing w:after="0" w:line="240" w:lineRule="auto"/>
      <w:textAlignment w:val="baseline"/>
    </w:pPr>
    <w:rPr>
      <w:rFonts w:ascii="Peterburg" w:hAnsi="Peterburg" w:cs="Peterburg"/>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BB508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3741</Words>
  <Characters>21330</Characters>
  <Application>Microsoft Office Word</Application>
  <DocSecurity>0</DocSecurity>
  <Lines>177</Lines>
  <Paragraphs>50</Paragraphs>
  <ScaleCrop>false</ScaleCrop>
  <Company>Home</Company>
  <LinksUpToDate>false</LinksUpToDate>
  <CharactersWithSpaces>25021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Учет себестоимости продукции промышленного предприятия</dc:title>
  <dc:subject/>
  <dc:creator>Alena</dc:creator>
  <cp:keywords/>
  <dc:description/>
  <cp:lastModifiedBy>admin</cp:lastModifiedBy>
  <cp:revision>2</cp:revision>
  <dcterms:created xsi:type="dcterms:W3CDTF">2014-02-19T00:03:00Z</dcterms:created>
  <dcterms:modified xsi:type="dcterms:W3CDTF">2014-02-19T00:03:00Z</dcterms:modified>
</cp:coreProperties>
</file>