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9DC" w:rsidRDefault="00F569DC">
      <w:pPr>
        <w:widowControl w:val="0"/>
        <w:spacing w:before="120"/>
        <w:jc w:val="center"/>
        <w:rPr>
          <w:b/>
          <w:bCs/>
          <w:color w:val="000000"/>
          <w:sz w:val="32"/>
          <w:szCs w:val="32"/>
          <w:lang w:val="ru-RU"/>
        </w:rPr>
      </w:pPr>
      <w:r>
        <w:rPr>
          <w:b/>
          <w:bCs/>
          <w:color w:val="000000"/>
          <w:sz w:val="32"/>
          <w:szCs w:val="32"/>
          <w:lang w:val="ru-RU"/>
        </w:rPr>
        <w:t>Рекурсия.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 понятием рекурсии мы уже встречались: рекуррентные соотношения довольно часто встречаются в математических выражениях. Рекурсия в определении состоит в том, что определяемое понятие определяется через само это понятие. Примером здесь может служить определение высказывания (см. лекция 5, определение 5.1). Рекурсия в вычислениях выступает в форме рекуррентных соотношений, которые показывают, как вычислить очередное значение, используя предыдущие.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>Например, рекуррентное соотношение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</w:rPr>
        <w:t>x</w:t>
      </w:r>
      <w:r>
        <w:rPr>
          <w:color w:val="000000"/>
          <w:sz w:val="24"/>
          <w:szCs w:val="24"/>
          <w:vertAlign w:val="subscript"/>
        </w:rPr>
        <w:t>i</w:t>
      </w:r>
      <w:r>
        <w:rPr>
          <w:color w:val="000000"/>
          <w:sz w:val="24"/>
          <w:szCs w:val="24"/>
          <w:lang w:val="ru-RU"/>
        </w:rPr>
        <w:t>=</w:t>
      </w:r>
      <w:r>
        <w:rPr>
          <w:color w:val="000000"/>
          <w:sz w:val="24"/>
          <w:szCs w:val="24"/>
        </w:rPr>
        <w:t>x</w:t>
      </w:r>
      <w:r>
        <w:rPr>
          <w:color w:val="000000"/>
          <w:sz w:val="24"/>
          <w:szCs w:val="24"/>
          <w:vertAlign w:val="subscript"/>
        </w:rPr>
        <w:t>i</w:t>
      </w:r>
      <w:r>
        <w:rPr>
          <w:color w:val="000000"/>
          <w:sz w:val="24"/>
          <w:szCs w:val="24"/>
          <w:vertAlign w:val="subscript"/>
          <w:lang w:val="ru-RU"/>
        </w:rPr>
        <w:t>-2</w:t>
      </w:r>
      <w:r>
        <w:rPr>
          <w:color w:val="000000"/>
          <w:sz w:val="24"/>
          <w:szCs w:val="24"/>
          <w:lang w:val="ru-RU"/>
        </w:rPr>
        <w:t>+</w:t>
      </w:r>
      <w:r>
        <w:rPr>
          <w:color w:val="000000"/>
          <w:sz w:val="24"/>
          <w:szCs w:val="24"/>
        </w:rPr>
        <w:t>x</w:t>
      </w:r>
      <w:r>
        <w:rPr>
          <w:color w:val="000000"/>
          <w:sz w:val="24"/>
          <w:szCs w:val="24"/>
          <w:vertAlign w:val="subscript"/>
        </w:rPr>
        <w:t>i</w:t>
      </w:r>
      <w:r>
        <w:rPr>
          <w:color w:val="000000"/>
          <w:sz w:val="24"/>
          <w:szCs w:val="24"/>
          <w:vertAlign w:val="subscript"/>
          <w:lang w:val="ru-RU"/>
        </w:rPr>
        <w:t>-1</w:t>
      </w:r>
      <w:r>
        <w:rPr>
          <w:color w:val="000000"/>
          <w:sz w:val="24"/>
          <w:szCs w:val="24"/>
          <w:lang w:val="ru-RU"/>
        </w:rPr>
        <w:t xml:space="preserve">  ,   где  </w:t>
      </w:r>
      <w:r>
        <w:rPr>
          <w:color w:val="000000"/>
          <w:sz w:val="24"/>
          <w:szCs w:val="24"/>
        </w:rPr>
        <w:t>x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=1 , </w:t>
      </w:r>
      <w:r>
        <w:rPr>
          <w:color w:val="000000"/>
          <w:sz w:val="24"/>
          <w:szCs w:val="24"/>
        </w:rPr>
        <w:t>x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>=2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задает правило вычисления так называемых чисел Фибоначчи.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>Другим примером рекуррентных соотношений могут служить правила вычисления членов арифметической прогрессии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vertAlign w:val="subscript"/>
          <w:lang w:val="ru-RU"/>
        </w:rPr>
        <w:t>+1</w:t>
      </w:r>
      <w:r>
        <w:rPr>
          <w:color w:val="000000"/>
          <w:sz w:val="24"/>
          <w:szCs w:val="24"/>
          <w:lang w:val="ru-RU"/>
        </w:rPr>
        <w:t>=</w:t>
      </w:r>
      <w:r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lang w:val="ru-RU"/>
        </w:rPr>
        <w:t>+</w:t>
      </w:r>
      <w:r>
        <w:rPr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  <w:lang w:val="ru-RU"/>
        </w:rPr>
        <w:t xml:space="preserve">  ,   где  </w:t>
      </w:r>
      <w:r>
        <w:rPr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  <w:lang w:val="ru-RU"/>
        </w:rPr>
        <w:t xml:space="preserve"> - разность прогрессии,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либо геометрической прогрессии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vertAlign w:val="subscript"/>
          <w:lang w:val="ru-RU"/>
        </w:rPr>
        <w:t>+1</w:t>
      </w:r>
      <w:r>
        <w:rPr>
          <w:color w:val="000000"/>
          <w:sz w:val="24"/>
          <w:szCs w:val="24"/>
          <w:lang w:val="ru-RU"/>
        </w:rPr>
        <w:t>=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lang w:val="ru-RU"/>
        </w:rPr>
        <w:t xml:space="preserve">  ,   где  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lang w:val="ru-RU"/>
        </w:rPr>
        <w:t xml:space="preserve"> - коэффициент прогрессии.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Эта идея рекурсии реализована и в языке </w:t>
      </w:r>
      <w:r>
        <w:rPr>
          <w:color w:val="000000"/>
          <w:sz w:val="24"/>
          <w:szCs w:val="24"/>
        </w:rPr>
        <w:t>Pascal</w:t>
      </w:r>
      <w:r>
        <w:rPr>
          <w:color w:val="000000"/>
          <w:sz w:val="24"/>
          <w:szCs w:val="24"/>
          <w:lang w:val="ru-RU"/>
        </w:rPr>
        <w:t>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Определение 16.1. Функция (процедура) на языке </w:t>
      </w:r>
      <w:r>
        <w:rPr>
          <w:color w:val="000000"/>
          <w:sz w:val="24"/>
          <w:szCs w:val="24"/>
        </w:rPr>
        <w:t>Pascal</w:t>
      </w:r>
      <w:r>
        <w:rPr>
          <w:color w:val="000000"/>
          <w:sz w:val="24"/>
          <w:szCs w:val="24"/>
          <w:lang w:val="ru-RU"/>
        </w:rPr>
        <w:t xml:space="preserve"> называется рекурсивной, если в ходе своего выполнения она обращается к самой себе.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Например, мы можем определить вычисление функции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! </w:t>
      </w:r>
      <w:r>
        <w:rPr>
          <w:color w:val="000000"/>
          <w:sz w:val="24"/>
          <w:szCs w:val="24"/>
          <w:lang w:val="ru-RU"/>
        </w:rPr>
        <w:br/>
        <w:t xml:space="preserve">рекурсивно. Как это сделать, показано на рисунке 16.1 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function  Factorial (n : integer) : integer ;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begin   if  n&gt;0  then Factorial:=Factorial (n-1)</w:t>
      </w:r>
      <w:r>
        <w:rPr>
          <w:color w:val="000000"/>
          <w:sz w:val="24"/>
          <w:szCs w:val="24"/>
        </w:rPr>
        <w:sym w:font="Symbol" w:char="F02A"/>
      </w:r>
      <w:r>
        <w:rPr>
          <w:color w:val="000000"/>
          <w:sz w:val="24"/>
          <w:szCs w:val="24"/>
        </w:rPr>
        <w:t>n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else  if n=0 then Factorial:=1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</w:rPr>
        <w:t xml:space="preserve">                                      else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writeln</w:t>
      </w:r>
      <w:r>
        <w:rPr>
          <w:color w:val="000000"/>
          <w:sz w:val="24"/>
          <w:szCs w:val="24"/>
          <w:lang w:val="ru-RU"/>
        </w:rPr>
        <w:t xml:space="preserve"> (’значение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 меньше 0’)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end {Factorial}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Рис</w:t>
      </w:r>
      <w:r>
        <w:rPr>
          <w:color w:val="000000"/>
          <w:sz w:val="24"/>
          <w:szCs w:val="24"/>
        </w:rPr>
        <w:t xml:space="preserve">. 16.1. </w:t>
      </w:r>
      <w:r>
        <w:rPr>
          <w:color w:val="000000"/>
          <w:sz w:val="24"/>
          <w:szCs w:val="24"/>
          <w:lang w:val="ru-RU"/>
        </w:rPr>
        <w:t xml:space="preserve">Функция вычисления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>! в рекурсивной форме.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Рассмотрим подробно, как будет выполняться обращение к этой функции, напрмер,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>=4.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На рисунке 16.2 показан процесс вычисления для случая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>(4).</w:t>
      </w:r>
    </w:p>
    <w:p w:rsidR="00F569DC" w:rsidRDefault="004D5A56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noProof/>
          <w:lang w:val="ru-RU"/>
        </w:rPr>
        <w:pict>
          <v:rect id="_x0000_s1026" style="position:absolute;left:0;text-align:left;margin-left:118.05pt;margin-top:16.35pt;width:17.15pt;height:14.3pt;z-index:251664384" o:allowincell="f" filled="f" stroked="f" strokeweight="1pt">
            <v:textbox inset="1pt,1pt,1pt,1pt">
              <w:txbxContent>
                <w:p w:rsidR="00F569DC" w:rsidRDefault="00F569DC"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24</w:t>
                  </w:r>
                </w:p>
              </w:txbxContent>
            </v:textbox>
          </v:rect>
        </w:pict>
      </w:r>
    </w:p>
    <w:p w:rsidR="00F569DC" w:rsidRDefault="004D5A56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noProof/>
          <w:lang w:val="ru-RU"/>
        </w:rPr>
        <w:pict>
          <v:rect id="_x0000_s1027" style="position:absolute;left:0;text-align:left;margin-left:160.5pt;margin-top:353.7pt;width:51.35pt;height:14.3pt;z-index:251659264" o:allowincell="f" filled="f" stroked="f" strokeweight="1pt">
            <v:textbox inset="1pt,1pt,1pt,1pt">
              <w:txbxContent>
                <w:p w:rsidR="00F569DC" w:rsidRDefault="00F569DC">
                  <w:pPr>
                    <w:rPr>
                      <w:rFonts w:ascii="Journal" w:hAnsi="Journal" w:cs="Journal"/>
                      <w:b/>
                      <w:bCs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Фрейм 5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28" style="position:absolute;left:0;text-align:left;margin-left:331.5pt;margin-top:333.75pt;width:17.15pt;height:14.3pt;z-index:251665408" o:allowincell="f" filled="f" stroked="f" strokeweight="1pt">
            <v:textbox inset="1pt,1pt,1pt,1pt">
              <w:txbxContent>
                <w:p w:rsidR="00F569DC" w:rsidRDefault="00F569DC"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29" style="position:absolute;left:0;text-align:left;margin-left:294.45pt;margin-top:256.8pt;width:17.15pt;height:14.3pt;z-index:251666432" o:allowincell="f" filled="f" stroked="f" strokeweight="1pt">
            <v:textbox inset="1pt,1pt,1pt,1pt">
              <w:txbxContent>
                <w:p w:rsidR="00F569DC" w:rsidRDefault="00F569DC"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30" style="position:absolute;left:0;text-align:left;margin-left:248.85pt;margin-top:174.15pt;width:17.15pt;height:14.3pt;z-index:251667456" o:allowincell="f" filled="f" stroked="f" strokeweight="1pt">
            <v:textbox inset="1pt,1pt,1pt,1pt">
              <w:txbxContent>
                <w:p w:rsidR="00F569DC" w:rsidRDefault="00F569DC"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31" style="position:absolute;left:0;text-align:left;margin-left:217.5pt;margin-top:83.05pt;width:17.15pt;height:14.3pt;z-index:251668480" o:allowincell="f" filled="f" stroked="f" strokeweight="1pt">
            <v:textbox inset="1pt,1pt,1pt,1pt">
              <w:txbxContent>
                <w:p w:rsidR="00F569DC" w:rsidRDefault="00F569DC"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32" style="position:absolute;left:0;text-align:left;margin-left:117.75pt;margin-top:276.75pt;width:51.35pt;height:14.3pt;z-index:251660288" o:allowincell="f" filled="f" stroked="f" strokeweight="1pt">
            <v:textbox inset="1pt,1pt,1pt,1pt">
              <w:txbxContent>
                <w:p w:rsidR="00F569DC" w:rsidRDefault="00F569DC">
                  <w:pPr>
                    <w:rPr>
                      <w:rFonts w:ascii="Journal" w:hAnsi="Journal" w:cs="Journal"/>
                      <w:b/>
                      <w:bCs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Фрейм 4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shape id="_x0000_s1033" style="position:absolute;left:0;text-align:left;margin-left:163.35pt;margin-top:368.05pt;width:213.8pt;height:39.95pt;z-index:251657216;mso-position-horizontal-relative:text;mso-position-vertical-relative:text" coordsize="20000,20000" o:allowincell="f" path="m,19975l,,19995,r,19975e" filled="f" strokeweight="1pt">
            <v:stroke startarrowwidth="narrow" endarrowwidth="narrow"/>
            <v:path arrowok="t"/>
          </v:shape>
        </w:pict>
      </w:r>
      <w:r>
        <w:rPr>
          <w:noProof/>
          <w:lang w:val="ru-RU"/>
        </w:rPr>
        <w:pict>
          <v:shape id="_x0000_s1034" style="position:absolute;left:0;text-align:left;margin-left:117.75pt;margin-top:288.25pt;width:259.4pt;height:42.8pt;z-index:251656192;mso-position-horizontal-relative:text;mso-position-vertical-relative:text" coordsize="20000,20000" o:allowincell="f" path="m,19977l,,19996,r,19977e" filled="f" strokeweight="1pt">
            <v:stroke startarrowwidth="narrow" endarrowwidth="narrow"/>
            <v:path arrowok="t"/>
          </v:shape>
        </w:pict>
      </w:r>
      <w:r>
        <w:rPr>
          <w:noProof/>
          <w:lang w:val="ru-RU"/>
        </w:rPr>
        <w:pict>
          <v:rect id="_x0000_s1035" style="position:absolute;left:0;text-align:left;margin-left:89.25pt;margin-top:194.1pt;width:51.35pt;height:14.3pt;z-index:251661312" o:allowincell="f" filled="f" stroked="f" strokeweight="1pt">
            <v:textbox inset="1pt,1pt,1pt,1pt">
              <w:txbxContent>
                <w:p w:rsidR="00F569DC" w:rsidRDefault="00F569DC">
                  <w:pPr>
                    <w:rPr>
                      <w:rFonts w:ascii="Journal" w:hAnsi="Journal" w:cs="Journal"/>
                      <w:b/>
                      <w:bCs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Фрейм 3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36" style="position:absolute;left:0;text-align:left;margin-left:35.1pt;margin-top:105.75pt;width:51.35pt;height:14.3pt;z-index:251662336" o:allowincell="f" filled="f" stroked="f" strokeweight="1pt">
            <v:textbox inset="1pt,1pt,1pt,1pt">
              <w:txbxContent>
                <w:p w:rsidR="00F569DC" w:rsidRDefault="00F569DC">
                  <w:pPr>
                    <w:rPr>
                      <w:rFonts w:ascii="Journal" w:hAnsi="Journal" w:cs="Journal"/>
                      <w:b/>
                      <w:bCs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Фрейм 2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37" style="position:absolute;left:0;text-align:left;margin-left:3.75pt;margin-top:17.4pt;width:51.35pt;height:14.3pt;z-index:251663360" o:allowincell="f" filled="f" stroked="f" strokeweight="1pt">
            <v:textbox inset="1pt,1pt,1pt,1pt">
              <w:txbxContent>
                <w:p w:rsidR="00F569DC" w:rsidRDefault="00F569DC">
                  <w:pPr>
                    <w:rPr>
                      <w:rFonts w:ascii="Journal" w:hAnsi="Journal" w:cs="Journal"/>
                      <w:b/>
                      <w:bCs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lang w:val="ru-RU"/>
                    </w:rPr>
                    <w:t>Фрейм 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group id="_x0000_s1038" style="position:absolute;left:0;text-align:left;margin-left:57.9pt;margin-top:17.5pt;width:279.35pt;height:379.1pt;z-index:251658240" coordorigin="2,-33" coordsize="19998,20042" o:allowincell="f">
            <v:group id="_x0000_s1039" style="position:absolute;left:8367;top:15938;width:11633;height:1811" coordorigin="3" coordsize="19997,20049">
              <v:shape id="_x0000_s1040" style="position:absolute;left:12629;width:7371;height:1727" coordsize="20000,20000" path="m,l,19661r19983,l19983,e" filled="f" strokeweight="1pt">
                <v:stroke startarrowwidth="narrow" endarrowwidth="narrow"/>
                <v:path arrowok="t"/>
              </v:shape>
              <v:shape id="_x0000_s1041" style="position:absolute;left:3;top:1672;width:15789;height:18377" coordsize="20000,20000" path="m,19968l,12707r19992,l19992,e" filled="f" strokeweight="1pt">
                <v:stroke startarrow="block" startarrowwidth="narrow" endarrowwidth="narrow"/>
                <v:path arrowok="t"/>
              </v:shape>
            </v:group>
            <v:group id="_x0000_s1042" style="position:absolute;left:14692;top:16089;width:4696;height:3920" coordorigin=",4" coordsize="20000,19996">
              <v:shape id="_x0000_s1043" style="position:absolute;top:17679;width:15656;height:2321" coordsize="20000,20000" path="m,19884l,,19981,r,19884e" filled="f" strokeweight="1pt">
                <v:stroke dashstyle="1 1" startarrowwidth="narrow" endarrowwidth="narrow"/>
                <v:path arrowok="t"/>
              </v:shape>
              <v:shape id="_x0000_s1044" style="position:absolute;left:6951;top:4;width:13049;height:17690" coordsize="20000,20000" path="m,19985l,9558r19977,l19977,e" filled="f" strokeweight="1pt">
                <v:stroke dashstyle="1 1" startarrowwidth="narrow" endarrow="block" endarrowwidth="narrow"/>
                <v:path arrowok="t"/>
              </v:shape>
            </v:group>
            <v:group id="_x0000_s1045" style="position:absolute;left:2;top:-33;width:17550;height:15226" coordorigin="-2,-7" coordsize="20002,20009">
              <v:group id="_x0000_s1046" style="position:absolute;left:6742;top:15635;width:13258;height:2380" coordorigin="-2" coordsize="20002,20015">
                <v:shape id="_x0000_s1047" style="position:absolute;left:12627;width:7373;height:1724" coordsize="20000,20000" path="m,l,19661r19983,l19983,e" filled="f" strokeweight="1pt">
                  <v:stroke startarrowwidth="narrow" endarrowwidth="narrow"/>
                  <v:path arrowok="t"/>
                </v:shape>
                <v:shape id="_x0000_s1048" style="position:absolute;left:-2;top:1665;width:15791;height:18350" coordsize="20000,20000" path="m,19968l,12707r19992,l19992,e" filled="f" strokeweight="1pt">
                  <v:stroke startarrow="block" startarrowwidth="narrow" endarrowwidth="narrow"/>
                  <v:path arrowok="t"/>
                </v:shape>
              </v:group>
              <v:group id="_x0000_s1049" style="position:absolute;left:12089;top:15833;width:6516;height:4169" coordorigin=",-1" coordsize="20001,20001">
                <v:shape id="_x0000_s1050" style="position:absolute;top:17131;width:12861;height:2869" coordsize="20000,20000" path="m,19884l,,19981,r,19884e" filled="f" strokeweight="1pt">
                  <v:stroke dashstyle="1 1" startarrowwidth="narrow" endarrowwidth="narrow"/>
                  <v:path arrowok="t"/>
                </v:shape>
                <v:shape id="_x0000_s1051" style="position:absolute;left:5715;top:-1;width:14286;height:17113" coordsize="20000,20000" path="m,19981l,12210r19982,l19982,e" filled="f" strokeweight="1pt">
                  <v:stroke dashstyle="1 1" startarrowwidth="narrow" endarrow="block" endarrowwidth="narrow"/>
                  <v:path arrowok="t"/>
                </v:shape>
              </v:group>
              <v:group id="_x0000_s1052" style="position:absolute;left:-2;top:-7;width:16281;height:14847" coordorigin=",15" coordsize="20000,19985">
                <v:group id="_x0000_s1053" style="position:absolute;left:11141;top:13598;width:7717;height:6402" coordorigin=",15" coordsize="20000,19985">
                  <v:shape id="_x0000_s1054" style="position:absolute;top:17487;width:13337;height:2513" coordsize="20000,20000" path="m,19884l,,19981,r,19884e" filled="f" strokeweight="1pt">
                    <v:stroke dashstyle="1 1" startarrowwidth="narrow" endarrowwidth="narrow"/>
                    <v:path arrowok="t"/>
                  </v:shape>
                  <v:shape id="_x0000_s1055" style="position:absolute;left:5922;top:15;width:14078;height:17488" coordsize="20000,20000" path="m,19983l,10467r19982,l19982,e" filled="f" strokeweight="1pt">
                    <v:stroke dashstyle="1 1" startarrowwidth="narrow" endarrow="block" endarrowwidth="narrow"/>
                    <v:path arrowok="t"/>
                  </v:shape>
                </v:group>
                <v:group id="_x0000_s1056" style="position:absolute;top:15;width:20000;height:16528" coordorigin=",1" coordsize="20000,19997">
                  <v:group id="_x0000_s1057" style="position:absolute;left:2856;top:1;width:6290;height:4843" coordorigin=",6" coordsize="20000,19994">
                    <v:shape id="_x0000_s1058" style="position:absolute;top:15979;width:16366;height:4021" coordsize="20000,20000" path="m,19884l,,19981,r,19884e" filled="f" strokeweight="1pt">
                      <v:stroke dashstyle="1 1" startarrowwidth="narrow" endarrowwidth="narrow"/>
                      <v:path arrowok="t"/>
                    </v:shape>
                    <v:shape id="_x0000_s1059" style="position:absolute;left:7266;top:6;width:12734;height:15998" coordsize="20000,20000" path="m,19971l,,19975,e" filled="f" strokeweight="1pt">
                      <v:stroke dashstyle="1 1" startarrowwidth="narrow" endarrow="block" endarrowwidth="narrow"/>
                      <v:path arrowok="t"/>
                    </v:shape>
                  </v:group>
                  <v:group id="_x0000_s1060" style="position:absolute;top:6128;width:16287;height:3874" coordorigin="-1" coordsize="20001,19996">
                    <v:shape id="_x0000_s1061" style="position:absolute;left:12627;width:7373;height:1724" coordsize="20000,20000" path="m,l,19661r19983,l19983,e" filled="f" strokeweight="1pt">
                      <v:stroke startarrowwidth="narrow" endarrowwidth="narrow"/>
                      <v:path arrowok="t"/>
                    </v:shape>
                    <v:shape id="_x0000_s1062" style="position:absolute;left:-1;top:1657;width:15791;height:18339" coordsize="20000,20000" path="m,19968l,12707r19992,l19992,e" filled="f" strokeweight="1pt">
                      <v:stroke startarrow="block" startarrowwidth="narrow" endarrowwidth="narrow"/>
                      <v:path arrowok="t"/>
                    </v:shape>
                  </v:group>
                  <v:group id="_x0000_s1063" style="position:absolute;left:3714;top:16125;width:16286;height:3873" coordsize="20000,20003">
                    <v:shape id="_x0000_s1064" style="position:absolute;left:12628;width:7372;height:1725" coordsize="20000,20000" path="m,l,19661r19983,l19983,e" filled="f" strokeweight="1pt">
                      <v:stroke startarrowwidth="narrow" endarrowwidth="narrow"/>
                      <v:path arrowok="t"/>
                    </v:shape>
                    <v:shape id="_x0000_s1065" style="position:absolute;top:1663;width:15791;height:18340" coordsize="20000,20000" path="m,19968l,12707r19992,l19992,e" filled="f" strokeweight="1pt">
                      <v:stroke startarrow="block" startarrowwidth="narrow" endarrowwidth="narrow"/>
                      <v:path arrowok="t"/>
                    </v:shape>
                  </v:group>
                  <v:group id="_x0000_s1066" style="position:absolute;left:6285;top:6448;width:9145;height:8080" coordsize="19999,20000">
                    <v:shape id="_x0000_s1067" style="position:absolute;top:17599;width:11256;height:2401" coordsize="20000,20000" path="m,19884l,,19981,r,19884e" filled="f" strokeweight="1pt">
                      <v:stroke dashstyle="1 1" startarrowwidth="narrow" endarrowwidth="narrow"/>
                      <v:path arrowok="t"/>
                    </v:shape>
                    <v:shape id="_x0000_s1068" style="position:absolute;left:4995;width:15004;height:17582" coordsize="20000,20000" path="m,19984l,10900r19985,l19985,e" filled="f" strokeweight="1pt">
                      <v:stroke dashstyle="1 1" startarrowwidth="narrow" endarrow="block" endarrowwidth="narrow"/>
                      <v:path arrowok="t"/>
                    </v:shape>
                  </v:group>
                </v:group>
              </v:group>
            </v:group>
          </v:group>
        </w:pict>
      </w:r>
      <w:r>
        <w:rPr>
          <w:noProof/>
          <w:lang w:val="ru-RU"/>
        </w:rPr>
        <w:pict>
          <v:rect id="_x0000_s1069" style="position:absolute;left:0;text-align:left;margin-left:180.45pt;margin-top:370.9pt;width:171.05pt;height:49.85pt;z-index:251646976" o:allowincell="f" filled="f" strokecolor="white" strokeweight="1pt">
            <v:stroke dashstyle="1 1"/>
            <v:textbox inset="1pt,1pt,1pt,1pt">
              <w:txbxContent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=0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if </w:t>
                  </w: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 xml:space="preserve">&gt;0 </w:t>
                  </w: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>then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          else   </w:t>
                  </w: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70" style="position:absolute;left:0;text-align:left;margin-left:134.85pt;margin-top:291pt;width:238.55pt;height:49.85pt;z-index:251648000" o:allowincell="f" filled="f" strokecolor="white" strokeweight="1pt">
            <v:stroke dashstyle="1 1"/>
            <v:textbox inset="1pt,1pt,1pt,1pt">
              <w:txbxContent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=1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if </w:t>
                  </w: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 xml:space="preserve">&gt;0 </w:t>
                  </w: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then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  Factorial(0)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sym w:font="Symbol" w:char="F02A"/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1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         else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shape id="_x0000_s1071" style="position:absolute;left:0;text-align:left;margin-left:89.25pt;margin-top:208.45pt;width:248pt;height:37.1pt;z-index:251653120;mso-position-horizontal-relative:text;mso-position-vertical-relative:text" coordsize="20000,20000" o:allowincell="f" path="m,19973l,,19996,r,19973e" filled="f" strokeweight="1pt">
            <v:stroke startarrowwidth="narrow" endarrowwidth="narrow"/>
            <v:path arrowok="t"/>
          </v:shape>
        </w:pict>
      </w:r>
      <w:r>
        <w:rPr>
          <w:noProof/>
          <w:lang w:val="ru-RU"/>
        </w:rPr>
        <w:pict>
          <v:rect id="_x0000_s1072" style="position:absolute;left:0;text-align:left;margin-left:100.65pt;margin-top:214.05pt;width:238.55pt;height:49.85pt;z-index:251649024" o:allowincell="f" filled="f" strokecolor="white" strokeweight="1pt">
            <v:stroke dashstyle="1 1"/>
            <v:textbox inset="1pt,1pt,1pt,1pt">
              <w:txbxContent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=2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if </w:t>
                  </w: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 xml:space="preserve">&gt;0 </w:t>
                  </w: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then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  Factorial(1)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sym w:font="Symbol" w:char="F02A"/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2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         else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rect id="_x0000_s1073" style="position:absolute;left:0;text-align:left;margin-left:15.75pt;margin-top:41.75pt;width:230.3pt;height:49.9pt;z-index:251652096" o:allowincell="f" filled="f" strokecolor="white" strokeweight="1pt">
            <v:stroke dashstyle="1 1"/>
            <v:textbox inset="1pt,1pt,1pt,1pt">
              <w:txbxContent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=4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if </w:t>
                  </w: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 xml:space="preserve">&gt;0 </w:t>
                  </w: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then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   Factorial(3)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sym w:font="Symbol" w:char="F02A"/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4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sz w:val="24"/>
                      <w:szCs w:val="24"/>
                    </w:rPr>
                    <w:t xml:space="preserve">         </w:t>
                  </w: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else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shape id="_x0000_s1074" style="position:absolute;left:0;text-align:left;margin-left:35.1pt;margin-top:120.1pt;width:248pt;height:42.8pt;z-index:251654144;mso-position-horizontal-relative:text;mso-position-vertical-relative:text" coordsize="20000,20000" o:allowincell="f" path="m,19977l,,19996,r,19977e" filled="f" strokeweight="1pt">
            <v:stroke startarrowwidth="narrow" endarrowwidth="narrow"/>
            <v:path arrowok="t"/>
          </v:shape>
        </w:pict>
      </w:r>
      <w:r>
        <w:rPr>
          <w:noProof/>
          <w:lang w:val="ru-RU"/>
        </w:rPr>
        <w:pict>
          <v:shape id="_x0000_s1075" style="position:absolute;left:0;text-align:left;margin-left:3.75pt;margin-top:34.6pt;width:245.15pt;height:42.8pt;z-index:251655168;mso-position-horizontal-relative:text;mso-position-vertical-relative:text" coordsize="20000,20000" o:allowincell="f" path="m,19977l,,19996,r,19977e" filled="f" strokeweight="1pt">
            <v:stroke startarrowwidth="narrow" endarrowwidth="narrow"/>
            <v:path arrowok="t"/>
          </v:shape>
        </w:pict>
      </w:r>
      <w:r>
        <w:rPr>
          <w:noProof/>
          <w:lang w:val="ru-RU"/>
        </w:rPr>
        <w:pict>
          <v:rect id="_x0000_s1076" style="position:absolute;left:0;text-align:left;margin-left:49.5pt;margin-top:131pt;width:238.55pt;height:49.85pt;z-index:251650048" o:allowincell="f" filled="f" strokecolor="white" strokeweight="1pt">
            <v:stroke dashstyle="1 1"/>
            <v:textbox inset="1pt,1pt,1pt,1pt">
              <w:txbxContent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=3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if </w:t>
                  </w:r>
                  <w:r>
                    <w:rPr>
                      <w:rFonts w:ascii="Journal" w:hAnsi="Journal" w:cs="Journal"/>
                      <w:i/>
                      <w:iCs/>
                      <w:sz w:val="24"/>
                      <w:szCs w:val="24"/>
                    </w:rPr>
                    <w:t>n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 xml:space="preserve">&gt;0 </w:t>
                  </w: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then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   Factorial(2)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sym w:font="Symbol" w:char="F02A"/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3</w:t>
                  </w:r>
                </w:p>
                <w:p w:rsidR="00F569DC" w:rsidRDefault="00F569DC">
                  <w:pPr>
                    <w:jc w:val="both"/>
                    <w:rPr>
                      <w:rFonts w:ascii="Journal" w:hAnsi="Journal" w:cs="Journal"/>
                      <w:sz w:val="24"/>
                      <w:szCs w:val="24"/>
                    </w:rPr>
                  </w:pPr>
                  <w:r>
                    <w:rPr>
                      <w:rFonts w:ascii="Journal" w:hAnsi="Journal" w:cs="Journal"/>
                      <w:b/>
                      <w:bCs/>
                      <w:sz w:val="24"/>
                      <w:szCs w:val="24"/>
                    </w:rPr>
                    <w:t xml:space="preserve">         else </w:t>
                  </w:r>
                  <w:r>
                    <w:rPr>
                      <w:rFonts w:ascii="Journal" w:hAnsi="Journal" w:cs="Journal"/>
                      <w:sz w:val="24"/>
                      <w:szCs w:val="24"/>
                    </w:rPr>
                    <w:t>Factorial:=1</w:t>
                  </w:r>
                </w:p>
              </w:txbxContent>
            </v:textbox>
          </v:rect>
        </w:pict>
      </w:r>
      <w:r>
        <w:rPr>
          <w:noProof/>
          <w:lang w:val="ru-RU"/>
        </w:rPr>
        <w:pict>
          <v:line id="_x0000_s1077" style="position:absolute;left:0;text-align:left;z-index:251651072" from="69.75pt,62.95pt" to="70.55pt,63pt" o:allowincell="f" strokeweight="1pt">
            <v:stroke startarrowwidth="narrow" endarrowwidth="narrow"/>
          </v:line>
        </w:pic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Рис. 16.2. Вычисление функции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>(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) для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>=4.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Сначала образуется так называемый рекурсивный фрейм №1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=4. Для этого фрейма отводится память и в нем фиксируются все значения переменных тела функции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>=4. Отметим, что в рекурсивном фрейме фиксируются значения всех переменных функции, кроме глобальных.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 xml:space="preserve">Затем происходит вызов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>(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)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=3. Образуется фрейм №2, где фиксируются значения переменных тела функции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=3. При этом фрейм №1 также хранится в памяти. Из фрейма №2 происходит обращение к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>(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)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=2. В результате этого обращения образуется фрейм №3, где фиксируются значения переменных тела функции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=2 и т.д. до тех пор, пока при очередном обращении к функции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 xml:space="preserve"> условие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&gt;0 не примет значение </w:t>
      </w:r>
      <w:r>
        <w:rPr>
          <w:color w:val="000000"/>
          <w:sz w:val="24"/>
          <w:szCs w:val="24"/>
        </w:rPr>
        <w:t>false</w:t>
      </w:r>
      <w:r>
        <w:rPr>
          <w:color w:val="000000"/>
          <w:sz w:val="24"/>
          <w:szCs w:val="24"/>
          <w:lang w:val="ru-RU"/>
        </w:rPr>
        <w:t>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 xml:space="preserve">Это произойдет в фрейме №5. В этом фрейме мы получим значение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 xml:space="preserve"> =1 и передадим это значение в фрейм №4. После этого фрейм №5 будет уничтожен, так как обращение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>(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)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>=0 будет выполнено.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 xml:space="preserve">В фрейме №4 мы вычислим значение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>(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) для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=1. После чего мы передадим это значение во фрейм №3, а фрейм №4 будет закрыт, так как обращение к </w:t>
      </w:r>
      <w:r>
        <w:rPr>
          <w:color w:val="000000"/>
          <w:sz w:val="24"/>
          <w:szCs w:val="24"/>
        </w:rPr>
        <w:t>Factorial</w:t>
      </w:r>
      <w:r>
        <w:rPr>
          <w:color w:val="000000"/>
          <w:sz w:val="24"/>
          <w:szCs w:val="24"/>
          <w:lang w:val="ru-RU"/>
        </w:rPr>
        <w:t>(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 xml:space="preserve">) при </w:t>
      </w:r>
      <w:r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  <w:lang w:val="ru-RU"/>
        </w:rPr>
        <w:t>=1 будет закончено.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>Так мы будем сворачивать эту цепочку фреймов в последовательности, обратной той, в которой мы их порождали, пока не свернем фрейм №1. После чего вычисление функции будет окончено.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>Рекурсия возможна не только в случае функций, но и процедур. Пример рекурсии для процедур приведен на рисунке 16.3. Там показано описание рекурсивной процедуры для распечатки (вывода на печать) строки символов в порядке, обратном их вводу.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Procedure  BackPrint ;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var   </w:t>
      </w:r>
      <w:r>
        <w:rPr>
          <w:color w:val="000000"/>
          <w:sz w:val="24"/>
          <w:szCs w:val="24"/>
          <w:lang w:val="ru-RU"/>
        </w:rPr>
        <w:t>символ</w:t>
      </w:r>
      <w:r>
        <w:rPr>
          <w:color w:val="000000"/>
          <w:sz w:val="24"/>
          <w:szCs w:val="24"/>
        </w:rPr>
        <w:t xml:space="preserve"> : char ;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begin read (</w:t>
      </w:r>
      <w:r>
        <w:rPr>
          <w:color w:val="000000"/>
          <w:sz w:val="24"/>
          <w:szCs w:val="24"/>
          <w:lang w:val="ru-RU"/>
        </w:rPr>
        <w:t>символ</w:t>
      </w:r>
      <w:r>
        <w:rPr>
          <w:color w:val="000000"/>
          <w:sz w:val="24"/>
          <w:szCs w:val="24"/>
        </w:rPr>
        <w:t>) ;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</w:rPr>
        <w:t xml:space="preserve">        if</w:t>
      </w:r>
      <w:r>
        <w:rPr>
          <w:color w:val="000000"/>
          <w:sz w:val="24"/>
          <w:szCs w:val="24"/>
          <w:lang w:val="ru-RU"/>
        </w:rPr>
        <w:t xml:space="preserve">  символ  = </w:t>
      </w:r>
      <w:r>
        <w:rPr>
          <w:color w:val="000000"/>
          <w:sz w:val="24"/>
          <w:szCs w:val="24"/>
        </w:rPr>
        <w:t>EOL</w:t>
      </w:r>
      <w:r>
        <w:rPr>
          <w:color w:val="000000"/>
          <w:sz w:val="24"/>
          <w:szCs w:val="24"/>
          <w:lang w:val="ru-RU"/>
        </w:rPr>
        <w:t xml:space="preserve"> {</w:t>
      </w:r>
      <w:r>
        <w:rPr>
          <w:color w:val="000000"/>
          <w:sz w:val="24"/>
          <w:szCs w:val="24"/>
        </w:rPr>
        <w:t>EOL</w:t>
      </w:r>
      <w:r>
        <w:rPr>
          <w:color w:val="000000"/>
          <w:sz w:val="24"/>
          <w:szCs w:val="24"/>
          <w:lang w:val="ru-RU"/>
        </w:rPr>
        <w:t xml:space="preserve"> - </w:t>
      </w:r>
      <w:r>
        <w:rPr>
          <w:color w:val="000000"/>
          <w:sz w:val="24"/>
          <w:szCs w:val="24"/>
        </w:rPr>
        <w:t>End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Of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Line</w:t>
      </w:r>
      <w:r>
        <w:rPr>
          <w:color w:val="000000"/>
          <w:sz w:val="24"/>
          <w:szCs w:val="24"/>
          <w:lang w:val="ru-RU"/>
        </w:rPr>
        <w:t xml:space="preserve"> - специальное значение типа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                                С</w:t>
      </w:r>
      <w:r>
        <w:rPr>
          <w:color w:val="000000"/>
          <w:sz w:val="24"/>
          <w:szCs w:val="24"/>
        </w:rPr>
        <w:t>HAR</w:t>
      </w:r>
      <w:r>
        <w:rPr>
          <w:color w:val="000000"/>
          <w:sz w:val="24"/>
          <w:szCs w:val="24"/>
          <w:lang w:val="ru-RU"/>
        </w:rPr>
        <w:t>, соответствующее окончанию ввода}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     </w:t>
      </w:r>
      <w:r>
        <w:rPr>
          <w:color w:val="000000"/>
          <w:sz w:val="24"/>
          <w:szCs w:val="24"/>
        </w:rPr>
        <w:t>then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writeln</w:t>
      </w:r>
      <w:r>
        <w:rPr>
          <w:color w:val="000000"/>
          <w:sz w:val="24"/>
          <w:szCs w:val="24"/>
          <w:lang w:val="ru-RU"/>
        </w:rPr>
        <w:t xml:space="preserve"> (   ) ; {пред началом вывода надо убедиться, что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                               печатать будем с новой строки}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 xml:space="preserve">        </w:t>
      </w:r>
      <w:r>
        <w:rPr>
          <w:color w:val="000000"/>
          <w:sz w:val="24"/>
          <w:szCs w:val="24"/>
        </w:rPr>
        <w:t>else  begin  BackPrint ; write (</w:t>
      </w:r>
      <w:r>
        <w:rPr>
          <w:color w:val="000000"/>
          <w:sz w:val="24"/>
          <w:szCs w:val="24"/>
          <w:lang w:val="ru-RU"/>
        </w:rPr>
        <w:t>символ</w:t>
      </w:r>
      <w:r>
        <w:rPr>
          <w:color w:val="000000"/>
          <w:sz w:val="24"/>
          <w:szCs w:val="24"/>
        </w:rPr>
        <w:t>) end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end {Procedure}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Рис</w:t>
      </w:r>
      <w:r>
        <w:rPr>
          <w:color w:val="000000"/>
          <w:sz w:val="24"/>
          <w:szCs w:val="24"/>
        </w:rPr>
        <w:t xml:space="preserve"> 16.3. </w:t>
      </w:r>
      <w:r>
        <w:rPr>
          <w:color w:val="000000"/>
          <w:sz w:val="24"/>
          <w:szCs w:val="24"/>
          <w:lang w:val="ru-RU"/>
        </w:rPr>
        <w:t>Пример рекурсивной процедуры.</w:t>
      </w:r>
    </w:p>
    <w:p w:rsidR="00F569DC" w:rsidRDefault="00F569DC">
      <w:pPr>
        <w:widowControl w:val="0"/>
        <w:spacing w:before="120"/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(Косвенная рекурсия.) Итерация и рекурсия.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 xml:space="preserve">Нетрудно заметить сходство между циклическими конструкциями (повторениями) и рекурсией. На рисунке 16.4 показана схема цикла вида </w:t>
      </w:r>
      <w:r>
        <w:rPr>
          <w:color w:val="000000"/>
          <w:sz w:val="24"/>
          <w:szCs w:val="24"/>
        </w:rPr>
        <w:t>while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do</w:t>
      </w:r>
      <w:r>
        <w:rPr>
          <w:color w:val="000000"/>
          <w:sz w:val="24"/>
          <w:szCs w:val="24"/>
          <w:lang w:val="ru-RU"/>
        </w:rPr>
        <w:t xml:space="preserve"> и его рекурсивного аналога.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3402"/>
        <w:gridCol w:w="4820"/>
      </w:tblGrid>
      <w:tr w:rsidR="00F569DC" w:rsidRPr="00F569DC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  <w:lang w:val="ru-RU"/>
              </w:rPr>
              <w:t>Цикл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  <w:lang w:val="ru-RU"/>
              </w:rPr>
              <w:t>Рекурсия</w:t>
            </w:r>
          </w:p>
        </w:tc>
      </w:tr>
      <w:tr w:rsidR="00F569DC" w:rsidRPr="00F569DC">
        <w:tc>
          <w:tcPr>
            <w:tcW w:w="340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</w:rPr>
              <w:t>while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 xml:space="preserve">   Условие Цикла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  <w:lang w:val="ru-RU"/>
              </w:rPr>
              <w:t xml:space="preserve">    </w:t>
            </w:r>
            <w:r w:rsidRPr="00F569DC">
              <w:rPr>
                <w:color w:val="000000"/>
                <w:sz w:val="24"/>
                <w:szCs w:val="24"/>
              </w:rPr>
              <w:t>do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 xml:space="preserve">    Тело Цикла</w:t>
            </w:r>
          </w:p>
        </w:tc>
        <w:tc>
          <w:tcPr>
            <w:tcW w:w="48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Procedure 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Рекурсивный</w:t>
            </w:r>
            <w:r w:rsidRPr="00F569DC">
              <w:rPr>
                <w:color w:val="000000"/>
                <w:sz w:val="24"/>
                <w:szCs w:val="24"/>
              </w:rPr>
              <w:t xml:space="preserve">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Цикл</w:t>
            </w:r>
            <w:r w:rsidRPr="00F569DC">
              <w:rPr>
                <w:color w:val="000000"/>
                <w:sz w:val="24"/>
                <w:szCs w:val="24"/>
              </w:rPr>
              <w:t xml:space="preserve"> ;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begin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        if 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Условие</w:t>
            </w:r>
            <w:r w:rsidRPr="00F569DC">
              <w:rPr>
                <w:color w:val="000000"/>
                <w:sz w:val="24"/>
                <w:szCs w:val="24"/>
              </w:rPr>
              <w:t xml:space="preserve">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Цикла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           then begin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Тело</w:t>
            </w:r>
            <w:r w:rsidRPr="00F569DC">
              <w:rPr>
                <w:color w:val="000000"/>
                <w:sz w:val="24"/>
                <w:szCs w:val="24"/>
              </w:rPr>
              <w:t xml:space="preserve">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Цикла</w:t>
            </w:r>
            <w:r w:rsidRPr="00F569DC">
              <w:rPr>
                <w:color w:val="000000"/>
                <w:sz w:val="24"/>
                <w:szCs w:val="24"/>
              </w:rPr>
              <w:t>;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                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Рекурсивный Цикл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  <w:lang w:val="ru-RU"/>
              </w:rPr>
              <w:t xml:space="preserve">                 </w:t>
            </w:r>
            <w:r w:rsidRPr="00F569DC">
              <w:rPr>
                <w:color w:val="000000"/>
                <w:sz w:val="24"/>
                <w:szCs w:val="24"/>
              </w:rPr>
              <w:t>else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{окончание рекурсии}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  <w:lang w:val="ru-RU"/>
              </w:rPr>
              <w:t xml:space="preserve">                       </w:t>
            </w:r>
            <w:r w:rsidRPr="00F569DC">
              <w:rPr>
                <w:color w:val="000000"/>
                <w:sz w:val="24"/>
                <w:szCs w:val="24"/>
              </w:rPr>
              <w:t>end</w:t>
            </w:r>
          </w:p>
        </w:tc>
      </w:tr>
    </w:tbl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Рис. 16.4. Схема организации цикла вида </w:t>
      </w:r>
      <w:r>
        <w:rPr>
          <w:color w:val="000000"/>
          <w:sz w:val="24"/>
          <w:szCs w:val="24"/>
        </w:rPr>
        <w:t>while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do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и его рекурсивного эквивалента.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Обратите внимание, что в правой части рис. 16.4 возможно зацикливание! Надо быть очень осторожным и всякий раз, применяя рекурсивную поцедуру или функцию, убедиться в их корректном завершении. Рассмотрим пример. На рисунке 16.5 приведен алгоритм Евклида, с которым мы познакомились на лекции 1, для вычисления НОД (наибольшего общего делителя) в форме обычной и рекурсивной функции на языке </w:t>
      </w:r>
      <w:r>
        <w:rPr>
          <w:color w:val="000000"/>
          <w:sz w:val="24"/>
          <w:szCs w:val="24"/>
        </w:rPr>
        <w:t>Pascal</w:t>
      </w:r>
      <w:r>
        <w:rPr>
          <w:color w:val="000000"/>
          <w:sz w:val="24"/>
          <w:szCs w:val="24"/>
          <w:lang w:val="ru-RU"/>
        </w:rPr>
        <w:t>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Function </w:t>
      </w:r>
      <w:r>
        <w:rPr>
          <w:color w:val="000000"/>
          <w:sz w:val="24"/>
          <w:szCs w:val="24"/>
          <w:lang w:val="ru-RU"/>
        </w:rPr>
        <w:t>НОД</w:t>
      </w:r>
      <w:r>
        <w:rPr>
          <w:color w:val="000000"/>
          <w:sz w:val="24"/>
          <w:szCs w:val="24"/>
        </w:rPr>
        <w:t xml:space="preserve"> (a, b : integer) : integer ;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tbl>
      <w:tblPr>
        <w:tblW w:w="0" w:type="auto"/>
        <w:tblInd w:w="709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386"/>
      </w:tblGrid>
      <w:tr w:rsidR="00F569DC" w:rsidRPr="00F569DC"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begin  repeat 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>if a &gt; b then a:=a-b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      else b:=b-a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   untile a = b;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  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НОД</w:t>
            </w:r>
            <w:r w:rsidRPr="00F569DC">
              <w:rPr>
                <w:color w:val="000000"/>
                <w:sz w:val="24"/>
                <w:szCs w:val="24"/>
              </w:rPr>
              <w:t>:=a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>end</w:t>
            </w:r>
          </w:p>
        </w:tc>
        <w:tc>
          <w:tcPr>
            <w:tcW w:w="5386" w:type="dxa"/>
            <w:tcBorders>
              <w:top w:val="nil"/>
              <w:bottom w:val="nil"/>
              <w:right w:val="nil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begin  if a = b then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НОД</w:t>
            </w:r>
            <w:r w:rsidRPr="00F569DC">
              <w:rPr>
                <w:color w:val="000000"/>
                <w:sz w:val="24"/>
                <w:szCs w:val="24"/>
              </w:rPr>
              <w:t>:=a;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if a &gt; b then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НОД</w:t>
            </w:r>
            <w:r w:rsidRPr="00F569DC">
              <w:rPr>
                <w:color w:val="000000"/>
                <w:sz w:val="24"/>
                <w:szCs w:val="24"/>
              </w:rPr>
              <w:t>:=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НОД</w:t>
            </w:r>
            <w:r w:rsidRPr="00F569DC">
              <w:rPr>
                <w:color w:val="000000"/>
                <w:sz w:val="24"/>
                <w:szCs w:val="24"/>
              </w:rPr>
              <w:t>(a-b, b);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F569DC">
              <w:rPr>
                <w:color w:val="000000"/>
                <w:sz w:val="24"/>
                <w:szCs w:val="24"/>
              </w:rPr>
              <w:t xml:space="preserve">                else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НОД</w:t>
            </w:r>
            <w:r w:rsidRPr="00F569DC">
              <w:rPr>
                <w:color w:val="000000"/>
                <w:sz w:val="24"/>
                <w:szCs w:val="24"/>
              </w:rPr>
              <w:t>:=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НОД</w:t>
            </w:r>
            <w:r w:rsidRPr="00F569DC">
              <w:rPr>
                <w:color w:val="000000"/>
                <w:sz w:val="24"/>
                <w:szCs w:val="24"/>
              </w:rPr>
              <w:t>(b-a , a);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</w:rPr>
              <w:t>end</w:t>
            </w:r>
          </w:p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Рис. 16.5. Циклическая и рекурсивная функции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для вычисления НОД.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Как видно из приведенных примеров на рисунках 16.1 и 16.5, итерация, т.е. цикл всегда может быть заменен его рекурсивным аналогом по схеме, показанной на рисунке 16.4.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  <w:t>С обратным утверждением о замене рекурсии итерацией все сложнее. На рисунке 16.6 приведен пример рекурсивной функции, где по схеме (рис. 16.4) рекурсию итерацией заменить не удается.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в остальных случаях</w:t>
      </w:r>
    </w:p>
    <w:p w:rsidR="00F569DC" w:rsidRDefault="004D5A56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pt;height:57pt">
            <v:imagedata r:id="rId5" o:title=""/>
          </v:shape>
        </w:pic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Рис. 16.6. Рекурсивная функция Аккермана.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Способы повторного использования процедур и функций.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Итак, процесс абстракции в форме процедуры состоит из трех шагов: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Именование. Присвоить рутинному алгоритму уникальное имя, которое затем будем использовать как имя соответствующей процедуры.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Определить пред- и постусловия для создаваемой процедуры или функции в соответствии с контекстом их использования в основной программе.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Параметризиовать процедуру. (Везде далее, если явно не оговорено, говоря о процедурах, будем иметь в виду также и функции). Для этого часть предусловия и постусловия в спецификации оформить в виде параметров соответствующего типа, часть из которых будет доставлять исходные данные, а другая часть - результаты работы процедуры.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Обобщить типы параметров. Проанализировать все места в программе, где будет обращение к данной процедуре на предмет, какие типы данных используются в этих местах, как они соотносятся с типами параметров в процедуре. Назовем совокупность типов данных в месте вызова процедуры контекстом обращения к процедуре Определить типы параметров так, чтобы они соответствовали как можно большему числу контекстов обращений к процедуре.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Реализовать получившуюся абстракцию рутинного алгоритма либо в форме процедуры, либо функции.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Мы не в праве ожидать, что выделенные нами уже существующие функции или процедуры, которые могут быть нам полезны для создания нашей новой программы, мы сможем использовать в том виде, как они есть. Есть четыре основных способа адаптации или повторного использования уже существующих рутинных алгоритмов и процедур для новых целей. Это - присоединение, вложение, настройка и слияние.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Присоединение. Этот способ предполагает, что если у нас есть процедура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c</w:t>
      </w:r>
      <w:r>
        <w:rPr>
          <w:color w:val="000000"/>
          <w:sz w:val="24"/>
          <w:szCs w:val="24"/>
          <w:lang w:val="ru-RU"/>
        </w:rPr>
        <w:t xml:space="preserve"> предусловием 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  <w:lang w:val="ru-RU"/>
        </w:rPr>
        <w:t xml:space="preserve">1  </w:t>
      </w:r>
      <w:r>
        <w:rPr>
          <w:color w:val="000000"/>
          <w:sz w:val="24"/>
          <w:szCs w:val="24"/>
          <w:lang w:val="ru-RU"/>
        </w:rPr>
        <w:t xml:space="preserve">и постусловием </w:t>
      </w:r>
      <w:r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и процедура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c</w:t>
      </w:r>
      <w:r>
        <w:rPr>
          <w:color w:val="000000"/>
          <w:sz w:val="24"/>
          <w:szCs w:val="24"/>
          <w:lang w:val="ru-RU"/>
        </w:rPr>
        <w:t xml:space="preserve"> пред-и </w:t>
      </w:r>
      <w:r>
        <w:rPr>
          <w:color w:val="000000"/>
          <w:sz w:val="24"/>
          <w:szCs w:val="24"/>
        </w:rPr>
        <w:t>c</w:t>
      </w:r>
      <w:r>
        <w:rPr>
          <w:color w:val="000000"/>
          <w:sz w:val="24"/>
          <w:szCs w:val="24"/>
          <w:lang w:val="ru-RU"/>
        </w:rPr>
        <w:t xml:space="preserve"> постусловиями 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  <w:lang w:val="ru-RU"/>
        </w:rPr>
        <w:t xml:space="preserve">2  </w:t>
      </w:r>
      <w:r>
        <w:rPr>
          <w:color w:val="000000"/>
          <w:sz w:val="24"/>
          <w:szCs w:val="24"/>
          <w:lang w:val="ru-RU"/>
        </w:rPr>
        <w:t xml:space="preserve">и </w:t>
      </w:r>
      <w:r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  <w:vertAlign w:val="subscript"/>
          <w:lang w:val="ru-RU"/>
        </w:rPr>
        <w:t xml:space="preserve">2 </w:t>
      </w:r>
      <w:r>
        <w:rPr>
          <w:color w:val="000000"/>
          <w:sz w:val="24"/>
          <w:szCs w:val="24"/>
          <w:lang w:val="ru-RU"/>
        </w:rPr>
        <w:t xml:space="preserve">соответственно, (причем </w:t>
      </w:r>
      <w:r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</w:rPr>
        <w:sym w:font="Symbol" w:char="F0DE"/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) , то мы можем построить процедуру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c</w:t>
      </w:r>
      <w:r>
        <w:rPr>
          <w:color w:val="000000"/>
          <w:sz w:val="24"/>
          <w:szCs w:val="24"/>
          <w:lang w:val="ru-RU"/>
        </w:rPr>
        <w:t xml:space="preserve"> предусловием 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  <w:lang w:val="ru-RU"/>
        </w:rPr>
        <w:t xml:space="preserve">1  </w:t>
      </w:r>
      <w:r>
        <w:rPr>
          <w:color w:val="000000"/>
          <w:sz w:val="24"/>
          <w:szCs w:val="24"/>
          <w:lang w:val="ru-RU"/>
        </w:rPr>
        <w:t xml:space="preserve">и постусловием </w:t>
      </w:r>
      <w:r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последовательно соеденив Р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и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так, как показано на рис.16.7.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lang w:val="ru-RU"/>
        </w:rPr>
        <w:t xml:space="preserve">      {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>}</w:t>
      </w:r>
    </w:p>
    <w:tbl>
      <w:tblPr>
        <w:tblW w:w="0" w:type="auto"/>
        <w:tblInd w:w="29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3"/>
      </w:tblGrid>
      <w:tr w:rsidR="00F569DC" w:rsidRPr="00F569DC">
        <w:tc>
          <w:tcPr>
            <w:tcW w:w="2693" w:type="dxa"/>
            <w:tcBorders>
              <w:top w:val="single" w:sz="6" w:space="0" w:color="auto"/>
              <w:bottom w:val="single" w:sz="6" w:space="0" w:color="auto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  <w:lang w:val="ru-RU"/>
              </w:rPr>
              <w:t>{</w:t>
            </w:r>
            <w:r w:rsidRPr="00F569DC">
              <w:rPr>
                <w:color w:val="000000"/>
                <w:sz w:val="24"/>
                <w:szCs w:val="24"/>
              </w:rPr>
              <w:t>Q</w:t>
            </w:r>
            <w:r w:rsidRPr="00F569DC">
              <w:rPr>
                <w:color w:val="000000"/>
                <w:sz w:val="24"/>
                <w:szCs w:val="24"/>
                <w:vertAlign w:val="subscript"/>
                <w:lang w:val="ru-RU"/>
              </w:rPr>
              <w:t>1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} Р</w:t>
            </w:r>
            <w:r w:rsidRPr="00F569DC">
              <w:rPr>
                <w:color w:val="000000"/>
                <w:sz w:val="24"/>
                <w:szCs w:val="24"/>
                <w:vertAlign w:val="subscript"/>
                <w:lang w:val="ru-RU"/>
              </w:rPr>
              <w:t xml:space="preserve">1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{</w:t>
            </w:r>
            <w:r w:rsidRPr="00F569DC">
              <w:rPr>
                <w:color w:val="000000"/>
                <w:sz w:val="24"/>
                <w:szCs w:val="24"/>
              </w:rPr>
              <w:t>R</w:t>
            </w:r>
            <w:r w:rsidRPr="00F569DC">
              <w:rPr>
                <w:color w:val="000000"/>
                <w:sz w:val="24"/>
                <w:szCs w:val="24"/>
                <w:vertAlign w:val="subscript"/>
                <w:lang w:val="ru-RU"/>
              </w:rPr>
              <w:t>1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}</w:t>
            </w:r>
          </w:p>
        </w:tc>
      </w:tr>
    </w:tbl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{</w:t>
      </w:r>
      <w:r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sym w:font="Symbol" w:char="F0DE"/>
      </w:r>
      <w:r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>}</w:t>
      </w:r>
    </w:p>
    <w:tbl>
      <w:tblPr>
        <w:tblW w:w="0" w:type="auto"/>
        <w:tblInd w:w="29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3"/>
      </w:tblGrid>
      <w:tr w:rsidR="00F569DC" w:rsidRPr="00F569DC">
        <w:tc>
          <w:tcPr>
            <w:tcW w:w="2693" w:type="dxa"/>
            <w:tcBorders>
              <w:top w:val="single" w:sz="6" w:space="0" w:color="auto"/>
              <w:bottom w:val="single" w:sz="6" w:space="0" w:color="auto"/>
            </w:tcBorders>
          </w:tcPr>
          <w:p w:rsidR="00F569DC" w:rsidRPr="00F569DC" w:rsidRDefault="00F569DC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569DC">
              <w:rPr>
                <w:color w:val="000000"/>
                <w:sz w:val="24"/>
                <w:szCs w:val="24"/>
                <w:lang w:val="ru-RU"/>
              </w:rPr>
              <w:t>{</w:t>
            </w:r>
            <w:r w:rsidRPr="00F569DC">
              <w:rPr>
                <w:color w:val="000000"/>
                <w:sz w:val="24"/>
                <w:szCs w:val="24"/>
              </w:rPr>
              <w:t>Q</w:t>
            </w:r>
            <w:r w:rsidRPr="00F569DC">
              <w:rPr>
                <w:color w:val="000000"/>
                <w:sz w:val="24"/>
                <w:szCs w:val="24"/>
                <w:vertAlign w:val="subscript"/>
                <w:lang w:val="ru-RU"/>
              </w:rPr>
              <w:t>2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} Р</w:t>
            </w:r>
            <w:r w:rsidRPr="00F569DC">
              <w:rPr>
                <w:color w:val="000000"/>
                <w:sz w:val="24"/>
                <w:szCs w:val="24"/>
                <w:vertAlign w:val="subscript"/>
                <w:lang w:val="ru-RU"/>
              </w:rPr>
              <w:t xml:space="preserve">2 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{</w:t>
            </w:r>
            <w:r w:rsidRPr="00F569DC">
              <w:rPr>
                <w:color w:val="000000"/>
                <w:sz w:val="24"/>
                <w:szCs w:val="24"/>
              </w:rPr>
              <w:t>R</w:t>
            </w:r>
            <w:r w:rsidRPr="00F569DC">
              <w:rPr>
                <w:color w:val="000000"/>
                <w:sz w:val="24"/>
                <w:szCs w:val="24"/>
                <w:vertAlign w:val="subscript"/>
                <w:lang w:val="ru-RU"/>
              </w:rPr>
              <w:t>2</w:t>
            </w:r>
            <w:r w:rsidRPr="00F569DC">
              <w:rPr>
                <w:color w:val="000000"/>
                <w:sz w:val="24"/>
                <w:szCs w:val="24"/>
                <w:lang w:val="ru-RU"/>
              </w:rPr>
              <w:t>}</w:t>
            </w:r>
          </w:p>
        </w:tc>
      </w:tr>
    </w:tbl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{</w:t>
      </w:r>
      <w:r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>}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Рис. 16.7. Присоединение процедур Р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и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 xml:space="preserve">2 </w:t>
      </w:r>
      <w:r>
        <w:rPr>
          <w:color w:val="000000"/>
          <w:sz w:val="24"/>
          <w:szCs w:val="24"/>
          <w:lang w:val="ru-RU"/>
        </w:rPr>
        <w:t>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Вложение. Этот способ применяется, когда новая процедура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lang w:val="ru-RU"/>
        </w:rPr>
        <w:t xml:space="preserve"> образуется вложением известной процедуры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внутрь другой известной процедуры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. Вложение возникает либо когда мы явно вставляем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как тело цикла или как альтернативу в теле процедуры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 xml:space="preserve">1 </w:t>
      </w:r>
      <w:r>
        <w:rPr>
          <w:color w:val="000000"/>
          <w:sz w:val="24"/>
          <w:szCs w:val="24"/>
          <w:lang w:val="ru-RU"/>
        </w:rPr>
        <w:t xml:space="preserve">, либо когда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- это параметр для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 xml:space="preserve">1 </w:t>
      </w:r>
      <w:r>
        <w:rPr>
          <w:color w:val="000000"/>
          <w:sz w:val="24"/>
          <w:szCs w:val="24"/>
          <w:lang w:val="ru-RU"/>
        </w:rPr>
        <w:t>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Настройка. Суть этого способа состоит в том, что существующую процедуру Р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мы либо обобщаем, либо, наоборот, сужаем в соответствии со спецификацией Р.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Например, если у нас есть процедура выбора максимального числа из массива из 100 натуральных чисел, то легко ее можем обобщить на случай массива из 1000 целочисленных компонентов.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Слияние. Этот способ построения новой процедуры Р за счет слияния, объединения двух существующих процедур Р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и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.</w:t>
      </w:r>
    </w:p>
    <w:p w:rsidR="00F569DC" w:rsidRDefault="00F569DC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Например, пусть процедура Р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выбирает максимальное, а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- минимальное значения в массиве из 100 целых чисел. Тогда, объединив операторы процедуры Р</w:t>
      </w:r>
      <w:r>
        <w:rPr>
          <w:color w:val="000000"/>
          <w:sz w:val="24"/>
          <w:szCs w:val="24"/>
          <w:vertAlign w:val="subscript"/>
          <w:lang w:val="ru-RU"/>
        </w:rPr>
        <w:t>1</w:t>
      </w:r>
      <w:r>
        <w:rPr>
          <w:color w:val="000000"/>
          <w:sz w:val="24"/>
          <w:szCs w:val="24"/>
          <w:lang w:val="ru-RU"/>
        </w:rPr>
        <w:t xml:space="preserve"> и процедуры </w:t>
      </w: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  <w:vertAlign w:val="subscript"/>
          <w:lang w:val="ru-RU"/>
        </w:rPr>
        <w:t>2</w:t>
      </w:r>
      <w:r>
        <w:rPr>
          <w:color w:val="000000"/>
          <w:sz w:val="24"/>
          <w:szCs w:val="24"/>
          <w:lang w:val="ru-RU"/>
        </w:rPr>
        <w:t xml:space="preserve"> в надлежащем порядке, мы получим процедуру Р , выбирающую </w:t>
      </w:r>
      <w:r>
        <w:rPr>
          <w:color w:val="000000"/>
          <w:sz w:val="24"/>
          <w:szCs w:val="24"/>
        </w:rPr>
        <w:t>max</w:t>
      </w:r>
      <w:r>
        <w:rPr>
          <w:color w:val="000000"/>
          <w:sz w:val="24"/>
          <w:szCs w:val="24"/>
          <w:lang w:val="ru-RU"/>
        </w:rPr>
        <w:t xml:space="preserve"> и </w:t>
      </w:r>
      <w:r>
        <w:rPr>
          <w:color w:val="000000"/>
          <w:sz w:val="24"/>
          <w:szCs w:val="24"/>
        </w:rPr>
        <w:t>min</w:t>
      </w:r>
      <w:r>
        <w:rPr>
          <w:color w:val="000000"/>
          <w:sz w:val="24"/>
          <w:szCs w:val="24"/>
          <w:lang w:val="ru-RU"/>
        </w:rPr>
        <w:t xml:space="preserve"> из 100 целых чисел.</w:t>
      </w:r>
    </w:p>
    <w:p w:rsidR="00F569DC" w:rsidRDefault="00F569DC">
      <w:pPr>
        <w:widowControl w:val="0"/>
        <w:spacing w:before="120"/>
        <w:ind w:firstLine="590"/>
        <w:jc w:val="both"/>
        <w:rPr>
          <w:color w:val="000000"/>
          <w:sz w:val="24"/>
          <w:szCs w:val="24"/>
          <w:lang w:val="ru-RU"/>
        </w:rPr>
      </w:pPr>
      <w:bookmarkStart w:id="0" w:name="_GoBack"/>
      <w:bookmarkEnd w:id="0"/>
    </w:p>
    <w:sectPr w:rsidR="00F569DC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BE04D5E"/>
    <w:lvl w:ilvl="0">
      <w:numFmt w:val="decimal"/>
      <w:lvlText w:val="*"/>
      <w:lvlJc w:val="left"/>
    </w:lvl>
  </w:abstractNum>
  <w:abstractNum w:abstractNumId="1">
    <w:nsid w:val="6662096B"/>
    <w:multiLevelType w:val="singleLevel"/>
    <w:tmpl w:val="E888716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-"/>
        <w:legacy w:legacy="1" w:legacySpace="0" w:legacyIndent="283"/>
        <w:lvlJc w:val="left"/>
        <w:pPr>
          <w:ind w:left="567" w:hanging="283"/>
        </w:pPr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VerticalDrawingGridEvery w:val="0"/>
  <w:characterSpacingControl w:val="doNotCompress"/>
  <w:doNotValidateAgainstSchema/>
  <w:doNotDemarcateInvalidXml/>
  <w:compat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76D8"/>
    <w:rsid w:val="00392EE0"/>
    <w:rsid w:val="004D5A56"/>
    <w:rsid w:val="00E576D8"/>
    <w:rsid w:val="00F5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0"/>
    <o:shapelayout v:ext="edit">
      <o:idmap v:ext="edit" data="1"/>
    </o:shapelayout>
  </w:shapeDefaults>
  <w:decimalSymbol w:val=","/>
  <w:listSeparator w:val=";"/>
  <w14:defaultImageDpi w14:val="0"/>
  <w15:chartTrackingRefBased/>
  <w15:docId w15:val="{3FACC7B3-34F1-4671-A1ED-8A8FB8438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link w:val="a3"/>
    <w:uiPriority w:val="99"/>
    <w:semiHidden/>
    <w:rPr>
      <w:rFonts w:ascii="Times New Roman" w:hAnsi="Times New Roman" w:cs="Times New Roman"/>
      <w:sz w:val="20"/>
      <w:szCs w:val="20"/>
      <w:lang w:val="en-US"/>
    </w:rPr>
  </w:style>
  <w:style w:type="character" w:styleId="a5">
    <w:name w:val="page number"/>
    <w:uiPriority w:val="99"/>
  </w:style>
  <w:style w:type="paragraph" w:styleId="a6">
    <w:name w:val="header"/>
    <w:basedOn w:val="a"/>
    <w:link w:val="a7"/>
    <w:uiPriority w:val="9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Pr>
      <w:rFonts w:ascii="Times New Roman" w:hAnsi="Times New Roman" w:cs="Times New Roman"/>
      <w:sz w:val="20"/>
      <w:szCs w:val="20"/>
      <w:lang w:val="en-US"/>
    </w:rPr>
  </w:style>
  <w:style w:type="character" w:styleId="a8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5336</Words>
  <Characters>3043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Ëåêöèÿ 16</vt:lpstr>
    </vt:vector>
  </TitlesOfParts>
  <Company>Computer System Laboratory</Company>
  <LinksUpToDate>false</LinksUpToDate>
  <CharactersWithSpaces>8363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Ëåêöèÿ 16</dc:title>
  <dc:subject/>
  <dc:creator>E.M.V.</dc:creator>
  <cp:keywords/>
  <dc:description/>
  <cp:lastModifiedBy>admin</cp:lastModifiedBy>
  <cp:revision>2</cp:revision>
  <cp:lastPrinted>1997-12-19T10:04:00Z</cp:lastPrinted>
  <dcterms:created xsi:type="dcterms:W3CDTF">2014-01-26T12:00:00Z</dcterms:created>
  <dcterms:modified xsi:type="dcterms:W3CDTF">2014-01-26T12:00:00Z</dcterms:modified>
</cp:coreProperties>
</file>