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642" w:rsidRDefault="00365036">
      <w:pPr>
        <w:pStyle w:val="1"/>
        <w:jc w:val="center"/>
      </w:pPr>
      <w:r>
        <w:t>Значение текста в художественном образе древнерусской рукописной книги конца XIV – начала XV века</w:t>
      </w:r>
    </w:p>
    <w:p w:rsidR="00FE3642" w:rsidRPr="00365036" w:rsidRDefault="00365036">
      <w:pPr>
        <w:pStyle w:val="a3"/>
      </w:pPr>
      <w:r>
        <w:rPr>
          <w:b/>
          <w:bCs/>
        </w:rPr>
        <w:t>Введение.</w:t>
      </w:r>
    </w:p>
    <w:p w:rsidR="00FE3642" w:rsidRDefault="00FE3642"/>
    <w:p w:rsidR="00FE3642" w:rsidRPr="00365036" w:rsidRDefault="00365036">
      <w:pPr>
        <w:pStyle w:val="a3"/>
      </w:pPr>
      <w:r>
        <w:t xml:space="preserve">При изучении русской национальной культуры, необыкновенно широкой по объёму и глубокой по содержанию, среди многих её направлений, трудно переоценить значение именно книжного искуства. Ведь невозможно отрицать, что так же, как христианство служило основой для формирования и кристаллизации русской государственности и русской культуры, именно Евангелие является тем центром, который сосредотачивает в себе всё разнообразие христианского вероучения, а в некоторые моменты литургии даже олицетворяет собой Господа нашего Иисуса Христа. Отсюда понятно особенное отношение каждого православного христианина к книге как таковой, и к книжному мастерству в частности. Поэтому постоянный поиск новых художественных и технологических способов производства книги традиционно соединяется у нас с бережным отношением к освящённой веками традиции. </w:t>
      </w:r>
    </w:p>
    <w:p w:rsidR="00FE3642" w:rsidRDefault="00365036">
      <w:pPr>
        <w:pStyle w:val="a3"/>
      </w:pPr>
      <w:r>
        <w:t xml:space="preserve">Безусловно, самым прогрессивным и многообещающим способом изучения искусства вообще, и книжного искусства в частности, является </w:t>
      </w:r>
      <w:r>
        <w:rPr>
          <w:b/>
          <w:bCs/>
          <w:i/>
          <w:iCs/>
        </w:rPr>
        <w:t>ансамблевый</w:t>
      </w:r>
      <w:r>
        <w:t xml:space="preserve"> подход, при котором произведение рассматривается во всей своей целостности и гармоничном сочетании отдельных элементов. А такой подход, в свою очередь, строится на внимательном предварительном изучении всех компонентов, составляющих целостность ансамбля.</w:t>
      </w:r>
    </w:p>
    <w:p w:rsidR="00FE3642" w:rsidRDefault="00365036">
      <w:pPr>
        <w:pStyle w:val="a3"/>
      </w:pPr>
      <w:r>
        <w:t xml:space="preserve">К сожалению, современная искусствоведческая практика при изучении и описании книги уделяет слишком мало внимания художественным особенностям собственно книжного текста, занимаясь в основном описанием входящих в состав памятника миниатюр, заставок и других элементов декора. Что касается отдельных работ, изучающих художественные особенности и динамику художественного взаимодействия текста и других деталей в оформлении древнерусской рукописной книги, то их вообще не существует. В частности, нет работ, изучающих художественные особенности и специфику текста в обозначенный мной период конца XIV – начала XV века. </w:t>
      </w:r>
    </w:p>
    <w:p w:rsidR="00FE3642" w:rsidRDefault="00365036">
      <w:pPr>
        <w:pStyle w:val="a3"/>
      </w:pPr>
      <w:r>
        <w:t xml:space="preserve">В цели и задачи этого реферата не входит полное и окончательное освящение этого вопроса. Я полагаю, что даже более-менее внимательное изучение этой темы требует гораздо большего объёма, чем курсовая студенческая работа, но мне хотелось бы акцентировать внимание искусствоведов именно на этой, безусловно интересной и малоизученной теме. </w:t>
      </w:r>
    </w:p>
    <w:p w:rsidR="00FE3642" w:rsidRDefault="00FE3642"/>
    <w:p w:rsidR="00FE3642" w:rsidRPr="00365036" w:rsidRDefault="00365036">
      <w:pPr>
        <w:pStyle w:val="a3"/>
      </w:pPr>
      <w:r>
        <w:rPr>
          <w:b/>
          <w:bCs/>
        </w:rPr>
        <w:t>Литература.</w:t>
      </w:r>
    </w:p>
    <w:p w:rsidR="00FE3642" w:rsidRDefault="00FE3642"/>
    <w:p w:rsidR="00FE3642" w:rsidRPr="00365036" w:rsidRDefault="00365036">
      <w:pPr>
        <w:pStyle w:val="a3"/>
        <w:numPr>
          <w:ilvl w:val="0"/>
          <w:numId w:val="1"/>
        </w:numPr>
        <w:ind w:firstLine="480"/>
      </w:pPr>
      <w:r>
        <w:t>В. Н. Щепкин «Русская Палеография». М., 1999 г.</w:t>
      </w:r>
    </w:p>
    <w:p w:rsidR="00FE3642" w:rsidRDefault="00365036">
      <w:pPr>
        <w:pStyle w:val="a3"/>
        <w:numPr>
          <w:ilvl w:val="0"/>
          <w:numId w:val="1"/>
        </w:numPr>
        <w:ind w:firstLine="480"/>
      </w:pPr>
      <w:r>
        <w:t>Э.С. Смирнова «Лицевые рукописи Великого Новгорода XV века». М., Наука, 1994 г.</w:t>
      </w:r>
    </w:p>
    <w:p w:rsidR="00FE3642" w:rsidRDefault="00365036">
      <w:pPr>
        <w:pStyle w:val="a3"/>
        <w:numPr>
          <w:ilvl w:val="0"/>
          <w:numId w:val="1"/>
        </w:numPr>
        <w:ind w:firstLine="480"/>
      </w:pPr>
      <w:r>
        <w:t>Г.И. Вздорнов «Из истории искусcтва Русской рукописной книги XIV века». // «Древне-Русское искусство рукописная книга» М., 1972 г.</w:t>
      </w:r>
    </w:p>
    <w:p w:rsidR="00FE3642" w:rsidRDefault="00365036">
      <w:pPr>
        <w:pStyle w:val="a3"/>
        <w:numPr>
          <w:ilvl w:val="0"/>
          <w:numId w:val="1"/>
        </w:numPr>
        <w:ind w:firstLine="480"/>
      </w:pPr>
      <w:r>
        <w:t>Г.И. Вздорнов «Искусство книги в Древней Руси. Русская рукописная книга Северо-Восточной Руси XII – начала XV веков». М., Искусство, 1980 г.</w:t>
      </w:r>
    </w:p>
    <w:p w:rsidR="00FE3642" w:rsidRDefault="00365036">
      <w:pPr>
        <w:pStyle w:val="a3"/>
        <w:numPr>
          <w:ilvl w:val="0"/>
          <w:numId w:val="1"/>
        </w:numPr>
        <w:ind w:firstLine="480"/>
      </w:pPr>
      <w:r>
        <w:t>«Труды отдела древнерусской литературы № 35 Рукописное наследие древней Руси» Л., 1980 г.</w:t>
      </w:r>
    </w:p>
    <w:p w:rsidR="00FE3642" w:rsidRDefault="00365036">
      <w:pPr>
        <w:pStyle w:val="a3"/>
        <w:numPr>
          <w:ilvl w:val="0"/>
          <w:numId w:val="1"/>
        </w:numPr>
        <w:ind w:firstLine="480"/>
      </w:pPr>
      <w:r>
        <w:t>Н.Н. Розов «Книга в России в XV веке». Л., Наука 1981 г.</w:t>
      </w:r>
    </w:p>
    <w:p w:rsidR="00FE3642" w:rsidRDefault="00365036">
      <w:pPr>
        <w:pStyle w:val="a3"/>
        <w:numPr>
          <w:ilvl w:val="0"/>
          <w:numId w:val="1"/>
        </w:numPr>
        <w:ind w:firstLine="480"/>
      </w:pPr>
      <w:r>
        <w:t xml:space="preserve">А.А. Турилов «Духовная литература и письменность. X – XVII вв». // Православная энциклопедия М., 2000 г. </w:t>
      </w:r>
    </w:p>
    <w:p w:rsidR="00FE3642" w:rsidRDefault="00365036">
      <w:pPr>
        <w:pStyle w:val="a3"/>
        <w:numPr>
          <w:ilvl w:val="0"/>
          <w:numId w:val="1"/>
        </w:numPr>
        <w:ind w:firstLine="480"/>
      </w:pPr>
      <w:r>
        <w:t>Брюс М. Мецгер «Текстология Нового Завета» Библейско-богословский Институт св. Апостола Андрея. М., 1996 г.</w:t>
      </w:r>
    </w:p>
    <w:p w:rsidR="00FE3642" w:rsidRDefault="00365036">
      <w:pPr>
        <w:pStyle w:val="a3"/>
        <w:numPr>
          <w:ilvl w:val="0"/>
          <w:numId w:val="1"/>
        </w:numPr>
        <w:ind w:firstLine="480"/>
      </w:pPr>
      <w:r>
        <w:t>Хью Уйбру «Православная литургия – развитие евхаристического богослужения византийского обряда». Библейско-богословский Институт св. Апостола Андрея. М., 2000 г.</w:t>
      </w:r>
    </w:p>
    <w:p w:rsidR="00FE3642" w:rsidRDefault="00FE3642"/>
    <w:p w:rsidR="00FE3642" w:rsidRPr="00365036" w:rsidRDefault="00365036">
      <w:pPr>
        <w:pStyle w:val="a3"/>
      </w:pPr>
      <w:r>
        <w:rPr>
          <w:b/>
          <w:bCs/>
        </w:rPr>
        <w:t>Обоснование хронологических рамок.</w:t>
      </w:r>
    </w:p>
    <w:p w:rsidR="00FE3642" w:rsidRDefault="00FE3642"/>
    <w:p w:rsidR="00FE3642" w:rsidRPr="00365036" w:rsidRDefault="00365036">
      <w:pPr>
        <w:pStyle w:val="a3"/>
      </w:pPr>
      <w:r>
        <w:t xml:space="preserve">Во 2-ой половине XIV века после длительного перерыва, обусловленного татаро-монгольским нашествием, восстанавливаются связи Руси и Русской Церкви с болгарами и сербами. Наступает период так называемого </w:t>
      </w:r>
      <w:r>
        <w:rPr>
          <w:b/>
          <w:bCs/>
          <w:i/>
          <w:iCs/>
        </w:rPr>
        <w:t>второго южнославянского влияния</w:t>
      </w:r>
      <w:r>
        <w:rPr>
          <w:i/>
          <w:iCs/>
        </w:rPr>
        <w:t>.</w:t>
      </w:r>
      <w:r>
        <w:t xml:space="preserve"> Тесные отношения поддерживаются во многом благодаря усилиями болгарина по происхождению, бывшего Афонского инока митрополита Киприана († 1406)</w:t>
      </w:r>
      <w:bookmarkStart w:id="0" w:name="sdfootnote1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"sdfootnote1sym"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1</w:t>
      </w:r>
      <w:r>
        <w:rPr>
          <w:vertAlign w:val="superscript"/>
        </w:rPr>
        <w:fldChar w:fldCharType="end"/>
      </w:r>
      <w:bookmarkEnd w:id="0"/>
      <w:r>
        <w:t>.</w:t>
      </w:r>
    </w:p>
    <w:p w:rsidR="00FE3642" w:rsidRDefault="00FE3642"/>
    <w:p w:rsidR="00FE3642" w:rsidRPr="00365036" w:rsidRDefault="00365036">
      <w:pPr>
        <w:pStyle w:val="a3"/>
      </w:pPr>
      <w:r>
        <w:rPr>
          <w:b/>
          <w:bCs/>
        </w:rPr>
        <w:t>В этот период на славянский язык впервые переводятся:</w:t>
      </w:r>
    </w:p>
    <w:p w:rsidR="00FE3642" w:rsidRDefault="00365036">
      <w:pPr>
        <w:pStyle w:val="a3"/>
        <w:numPr>
          <w:ilvl w:val="0"/>
          <w:numId w:val="2"/>
        </w:numPr>
        <w:ind w:firstLine="480"/>
      </w:pPr>
      <w:r>
        <w:t xml:space="preserve">Из патристики: труды Исаака Сирина, Петра Дамаскина, аввы Дорофея, преподобного Симиона Нового Богослова, Григория Синаита, свт. Григория Паламы. </w:t>
      </w:r>
    </w:p>
    <w:p w:rsidR="00FE3642" w:rsidRDefault="00365036">
      <w:pPr>
        <w:pStyle w:val="a3"/>
        <w:numPr>
          <w:ilvl w:val="0"/>
          <w:numId w:val="2"/>
        </w:numPr>
        <w:ind w:firstLine="480"/>
      </w:pPr>
      <w:r>
        <w:t xml:space="preserve">Для иноческого чтения: «Скитский устав», «Книга о постничестве» Василия Великого, «Тактикон» Никона Черногорца. </w:t>
      </w:r>
    </w:p>
    <w:p w:rsidR="00FE3642" w:rsidRDefault="00365036">
      <w:pPr>
        <w:pStyle w:val="a3"/>
        <w:numPr>
          <w:ilvl w:val="0"/>
          <w:numId w:val="2"/>
        </w:numPr>
        <w:ind w:firstLine="480"/>
      </w:pPr>
      <w:r>
        <w:t>Из полемических: ранние (православные) сочинения Варлаама Калабрийского, свт. Григория Паламы и Давида Дисипата.</w:t>
      </w:r>
    </w:p>
    <w:p w:rsidR="00FE3642" w:rsidRDefault="00365036">
      <w:pPr>
        <w:pStyle w:val="a3"/>
        <w:numPr>
          <w:ilvl w:val="0"/>
          <w:numId w:val="2"/>
        </w:numPr>
        <w:ind w:firstLine="480"/>
      </w:pPr>
      <w:r>
        <w:t xml:space="preserve">Из философско-богословских трудов: произведения Псевдо-Деонисия Ареопагита. </w:t>
      </w:r>
    </w:p>
    <w:p w:rsidR="00FE3642" w:rsidRDefault="00FE3642"/>
    <w:p w:rsidR="00FE3642" w:rsidRPr="00365036" w:rsidRDefault="00365036">
      <w:pPr>
        <w:pStyle w:val="a3"/>
      </w:pPr>
      <w:r>
        <w:t xml:space="preserve">Так же в это время, вслед за Константинополем и во многом благодаря </w:t>
      </w:r>
      <w:r>
        <w:rPr>
          <w:i/>
          <w:iCs/>
        </w:rPr>
        <w:t>Диактису</w:t>
      </w:r>
      <w:r>
        <w:t xml:space="preserve"> Патриарха Филофея, на Руси происходит окончательный переход на Иерусалимский устав</w:t>
      </w:r>
      <w:bookmarkStart w:id="1" w:name="sdfootnote2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"sdfootnote2sym"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2</w:t>
      </w:r>
      <w:r>
        <w:rPr>
          <w:vertAlign w:val="superscript"/>
        </w:rPr>
        <w:fldChar w:fldCharType="end"/>
      </w:r>
      <w:bookmarkEnd w:id="1"/>
      <w:r>
        <w:t>, что потребовало дополнительных переводов в корпусе богослужебных книг (Стишной пролог, Триодный Синаксарий, минейный и триодный Торжественник, Учительное Евангелие Патриарха Каллиста и т. д). Для примера можно указать на пергаментный список Иерусалимского устава написанный в начале XV века (ГИМ, Син. 332).</w:t>
      </w:r>
    </w:p>
    <w:p w:rsidR="00FE3642" w:rsidRDefault="00365036">
      <w:pPr>
        <w:pStyle w:val="a3"/>
      </w:pPr>
      <w:r>
        <w:t xml:space="preserve">Следует отметить, что языковые нормы, узаконенные так называемой </w:t>
      </w:r>
      <w:r>
        <w:rPr>
          <w:b/>
          <w:bCs/>
          <w:i/>
          <w:iCs/>
        </w:rPr>
        <w:t>Афоно-тырновской реформой</w:t>
      </w:r>
      <w:r>
        <w:t xml:space="preserve"> (унификация и регламентация орфографии, сознательная архаизация лексики), вместе с витиеватым, нарочито усложненным стилем красноречия получившим название: </w:t>
      </w:r>
      <w:r>
        <w:rPr>
          <w:b/>
          <w:bCs/>
          <w:i/>
          <w:iCs/>
        </w:rPr>
        <w:t>плетение словес</w:t>
      </w:r>
      <w:r>
        <w:t>, оказали чрезвычайно сильное формирующее воздействие на язык русской духовной словесности XIV – XV веков, а в последствие через переводы прп. Паисия (Величковского) и на круг чтения Российского Старчества XIX века.</w:t>
      </w:r>
    </w:p>
    <w:p w:rsidR="00FE3642" w:rsidRDefault="00FE3642"/>
    <w:p w:rsidR="00FE3642" w:rsidRPr="00365036" w:rsidRDefault="00365036">
      <w:pPr>
        <w:pStyle w:val="a3"/>
      </w:pPr>
      <w:r>
        <w:t>Но несмотря на разнообразие происходивших событий можно говорить о несомненной целостности обозначенного периода, которая выражается, прежде всего, в следующем:</w:t>
      </w:r>
    </w:p>
    <w:p w:rsidR="00FE3642" w:rsidRDefault="00365036">
      <w:pPr>
        <w:pStyle w:val="a3"/>
        <w:numPr>
          <w:ilvl w:val="0"/>
          <w:numId w:val="3"/>
        </w:numPr>
        <w:ind w:firstLine="480"/>
      </w:pPr>
      <w:r>
        <w:t xml:space="preserve">небывалый подъём книгописания. Происходит подлинное возрождение практически всего корпуса текстов известных в письменности Киевской Руси. </w:t>
      </w:r>
    </w:p>
    <w:p w:rsidR="00FE3642" w:rsidRDefault="00365036">
      <w:pPr>
        <w:pStyle w:val="a3"/>
        <w:numPr>
          <w:ilvl w:val="0"/>
          <w:numId w:val="4"/>
        </w:numPr>
        <w:ind w:firstLine="480"/>
      </w:pPr>
      <w:r>
        <w:t xml:space="preserve">возникновение большого количества новых монастырей, и следовательно создание новых библиотечных фондов, в которых основу составляли переводы именно XIV века. К примеру, такие крупные хранилища, как библиотеки Троице-Сергиева, Кириллова Белозерского, Соловецкого, Иосифо-Волоколамского монастырей и др. </w:t>
      </w:r>
    </w:p>
    <w:p w:rsidR="00FE3642" w:rsidRDefault="00365036">
      <w:pPr>
        <w:pStyle w:val="a3"/>
        <w:numPr>
          <w:ilvl w:val="0"/>
          <w:numId w:val="4"/>
        </w:numPr>
        <w:ind w:firstLine="480"/>
      </w:pPr>
      <w:r>
        <w:t>параллельном существовании и постоянном соперничестве трёх крупнейших центров книжного мастерства – Московского, Тверского и Новгородского.</w:t>
      </w:r>
    </w:p>
    <w:p w:rsidR="00FE3642" w:rsidRDefault="00365036">
      <w:pPr>
        <w:pStyle w:val="a3"/>
      </w:pPr>
      <w:r>
        <w:t>Произошедшее же (в результате продолжающегося процесса централизации Русских княжеств) присоединение к Москве в 1478 году Новгорода, а в 1485 году Твери, привело к прекращению независимого существования этих трёх школ</w:t>
      </w:r>
      <w:bookmarkStart w:id="2" w:name="sdfootnote3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"sdfootnote3sym"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3</w:t>
      </w:r>
      <w:r>
        <w:rPr>
          <w:vertAlign w:val="superscript"/>
        </w:rPr>
        <w:fldChar w:fldCharType="end"/>
      </w:r>
      <w:bookmarkEnd w:id="2"/>
      <w:r>
        <w:t xml:space="preserve">. </w:t>
      </w:r>
    </w:p>
    <w:p w:rsidR="00FE3642" w:rsidRDefault="00365036">
      <w:pPr>
        <w:pStyle w:val="a3"/>
      </w:pPr>
      <w:r>
        <w:t>Это даёт нам историческую границу, завершающую необыкновенно интересный, внутренне целостный и плодотворный период в истории не только Русской рукописной книги, но и Российского государства в целом.</w:t>
      </w:r>
    </w:p>
    <w:p w:rsidR="00FE3642" w:rsidRDefault="00FE3642"/>
    <w:p w:rsidR="00FE3642" w:rsidRPr="00365036" w:rsidRDefault="00365036">
      <w:pPr>
        <w:pStyle w:val="a3"/>
      </w:pPr>
      <w:r>
        <w:rPr>
          <w:b/>
          <w:bCs/>
        </w:rPr>
        <w:t>Основная часть</w:t>
      </w:r>
    </w:p>
    <w:p w:rsidR="00FE3642" w:rsidRDefault="00FE3642"/>
    <w:p w:rsidR="00FE3642" w:rsidRPr="00365036" w:rsidRDefault="00365036">
      <w:pPr>
        <w:pStyle w:val="a3"/>
      </w:pPr>
      <w:r>
        <w:t>При изучении значения текста в художественном образе рукописной книги, можно выделить несколько основных направлений исследования:</w:t>
      </w:r>
    </w:p>
    <w:p w:rsidR="00FE3642" w:rsidRDefault="00365036">
      <w:pPr>
        <w:pStyle w:val="a3"/>
        <w:numPr>
          <w:ilvl w:val="0"/>
          <w:numId w:val="5"/>
        </w:numPr>
        <w:ind w:firstLine="480"/>
      </w:pPr>
      <w:r>
        <w:t>подбор типа письма (устав, полуустав, каллиграфический полуустав, скоропись);</w:t>
      </w:r>
    </w:p>
    <w:p w:rsidR="00FE3642" w:rsidRDefault="00365036">
      <w:pPr>
        <w:pStyle w:val="a3"/>
        <w:numPr>
          <w:ilvl w:val="0"/>
          <w:numId w:val="5"/>
        </w:numPr>
        <w:ind w:firstLine="480"/>
      </w:pPr>
      <w:r>
        <w:t>расположение текста на листе (количество столбцов или их отсутствие, декоративное расположение);</w:t>
      </w:r>
    </w:p>
    <w:p w:rsidR="00FE3642" w:rsidRDefault="00365036">
      <w:pPr>
        <w:pStyle w:val="a3"/>
        <w:numPr>
          <w:ilvl w:val="0"/>
          <w:numId w:val="5"/>
        </w:numPr>
        <w:ind w:firstLine="480"/>
      </w:pPr>
      <w:r>
        <w:t>декоративное использование шрифта (инициалы, вязь);</w:t>
      </w:r>
    </w:p>
    <w:p w:rsidR="00FE3642" w:rsidRDefault="00365036">
      <w:pPr>
        <w:pStyle w:val="a3"/>
        <w:numPr>
          <w:ilvl w:val="0"/>
          <w:numId w:val="5"/>
        </w:numPr>
        <w:ind w:firstLine="480"/>
      </w:pPr>
      <w:r>
        <w:t>взаимодействие текста с миниатюрой и другими элементами ансамбля.</w:t>
      </w:r>
    </w:p>
    <w:p w:rsidR="00FE3642" w:rsidRDefault="00FE3642"/>
    <w:p w:rsidR="00FE3642" w:rsidRPr="00365036" w:rsidRDefault="00365036">
      <w:pPr>
        <w:pStyle w:val="a3"/>
      </w:pPr>
      <w:r>
        <w:rPr>
          <w:b/>
          <w:bCs/>
        </w:rPr>
        <w:t>Тип письма</w:t>
      </w:r>
    </w:p>
    <w:p w:rsidR="00FE3642" w:rsidRDefault="00FE3642"/>
    <w:p w:rsidR="00FE3642" w:rsidRPr="00365036" w:rsidRDefault="00365036">
      <w:pPr>
        <w:pStyle w:val="a3"/>
      </w:pPr>
      <w:r>
        <w:t xml:space="preserve">На практике, при определении типа письма возникает, вообще-то, парадоксальная ситуация. Обычно при первом же взгляде понятно, что это – устав, полуустав или скоропись. Но если же мы попытаемся точно описать отличие этих типов письма друг от друга, то мы столкнёмся с целым рядом затруднений. </w:t>
      </w:r>
    </w:p>
    <w:p w:rsidR="00FE3642" w:rsidRDefault="00365036">
      <w:pPr>
        <w:pStyle w:val="a3"/>
      </w:pPr>
      <w:r>
        <w:t>Указывая на некоторый отличительный признак в типе письма на примере одного памятника, мы можем не обнаружить этого признака в другом источнике. Это можно объяснить тем, что хоть взаимные отличия устава, полуустава и скорописи довольно существенны, но не одинаково обязательны. Те или иные признаки типа письма, например полуустава не обязательно присутствуют в каждой рукописи написанной этим стилем. Поэтому я считаю необходимым присоединиться к определению типов письма данному В.Н. Щепкиным – «</w:t>
      </w:r>
      <w:r>
        <w:rPr>
          <w:i/>
          <w:iCs/>
        </w:rPr>
        <w:t>…мы считаем целесообразным определять устав, полуустав и скоропись не по их внешнему виду, а по цели, какую имеет каждый их этих видов письма</w:t>
      </w:r>
      <w:r>
        <w:t>»</w:t>
      </w:r>
      <w:bookmarkStart w:id="3" w:name="sdfootnote4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"sdfootnote4sym"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4</w:t>
      </w:r>
      <w:r>
        <w:rPr>
          <w:vertAlign w:val="superscript"/>
        </w:rPr>
        <w:fldChar w:fldCharType="end"/>
      </w:r>
      <w:bookmarkEnd w:id="3"/>
      <w:r>
        <w:t>.</w:t>
      </w:r>
    </w:p>
    <w:p w:rsidR="00FE3642" w:rsidRDefault="00365036">
      <w:pPr>
        <w:pStyle w:val="a3"/>
      </w:pPr>
      <w:r>
        <w:t>Из этого следует, что основным критерием при подборе типа письма для переписчика являлось в первую очередь функциональное предназначение переписываемого им текста. И это утверждение можно подтвердить на большом количестве примеров из источников.</w:t>
      </w:r>
    </w:p>
    <w:p w:rsidR="00FE3642" w:rsidRDefault="00FE3642"/>
    <w:p w:rsidR="00FE3642" w:rsidRPr="00365036" w:rsidRDefault="00365036">
      <w:pPr>
        <w:pStyle w:val="a3"/>
      </w:pPr>
      <w:r>
        <w:rPr>
          <w:b/>
          <w:bCs/>
        </w:rPr>
        <w:t>Устав</w:t>
      </w:r>
    </w:p>
    <w:p w:rsidR="00FE3642" w:rsidRDefault="00FE3642"/>
    <w:p w:rsidR="00FE3642" w:rsidRPr="00365036" w:rsidRDefault="00365036">
      <w:pPr>
        <w:pStyle w:val="a3"/>
      </w:pPr>
      <w:r>
        <w:t>Основной литургический шрифт – чёткий, прямой, стройный, полученный нами в наследство от великой Византийской культуры является основой всей славянской письменности. Вот какими эпитетами описывает уставное письмо В.Н. Щепкин: «</w:t>
      </w:r>
      <w:r>
        <w:rPr>
          <w:i/>
          <w:iCs/>
        </w:rPr>
        <w:t>Славянский устав, подобно своему источнику – уставу византийскому, есть медленное и торжественное письмо; оно имеет целью красоту, правильность, церковное благолепие</w:t>
      </w:r>
      <w:r>
        <w:t>»</w:t>
      </w:r>
      <w:bookmarkStart w:id="4" w:name="sdfootnote5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"sdfootnote5sym"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5</w:t>
      </w:r>
      <w:r>
        <w:rPr>
          <w:vertAlign w:val="superscript"/>
        </w:rPr>
        <w:fldChar w:fldCharType="end"/>
      </w:r>
      <w:bookmarkEnd w:id="4"/>
      <w:r>
        <w:t xml:space="preserve">. Трудно что-нибудь добавить к такому ёмкому и поэтическому определению. Не стоит так-же забывать, что уставное письмо сформировалось в период литургической письменности, когда переписывание книги являлось делом богоугодным, неспешным, происходившим в основном за монастырскими стенами вдалеке от мирской суеты. </w:t>
      </w:r>
    </w:p>
    <w:p w:rsidR="00FE3642" w:rsidRDefault="00365036">
      <w:pPr>
        <w:pStyle w:val="a3"/>
      </w:pPr>
      <w:r>
        <w:t xml:space="preserve">В качестве примеров подобного рода текстов нам известно роскошное литургическое Евангелие-апракос, с изображением стоящих Евангелистов, из Новгорода (ГИМ, Муз. 3651). Евангелие выполнено на пергаменте крупным уставом в два столбца, с безупречно прорисованными, сложными композициями тератологических заставок и инициалов. Или ещё одно Евангелие-апракос (РНБ, F. п. I. 19) написано уставом исключительной стройности и также украшенное многочисленными тератологическими инициалами. </w:t>
      </w:r>
    </w:p>
    <w:p w:rsidR="00FE3642" w:rsidRDefault="00FE3642"/>
    <w:p w:rsidR="00FE3642" w:rsidRPr="00365036" w:rsidRDefault="00365036">
      <w:pPr>
        <w:pStyle w:val="a3"/>
      </w:pPr>
      <w:r>
        <w:rPr>
          <w:b/>
          <w:bCs/>
        </w:rPr>
        <w:t>Полуустав</w:t>
      </w:r>
    </w:p>
    <w:p w:rsidR="00FE3642" w:rsidRDefault="00FE3642"/>
    <w:p w:rsidR="00FE3642" w:rsidRPr="00365036" w:rsidRDefault="00365036">
      <w:pPr>
        <w:pStyle w:val="a3"/>
      </w:pPr>
      <w:r>
        <w:t xml:space="preserve">Возникновение </w:t>
      </w:r>
      <w:r>
        <w:rPr>
          <w:i/>
          <w:iCs/>
        </w:rPr>
        <w:t>полуустава</w:t>
      </w:r>
      <w:r>
        <w:t xml:space="preserve"> было предопределено в основном тремя основными тенденциями в развитии письменности. </w:t>
      </w:r>
    </w:p>
    <w:p w:rsidR="00FE3642" w:rsidRDefault="00365036">
      <w:pPr>
        <w:pStyle w:val="a3"/>
      </w:pPr>
      <w:r>
        <w:t>Первая из них – это возникновение потребности внелитургической письменности</w:t>
      </w:r>
      <w:bookmarkStart w:id="5" w:name="sdfootnote6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"sdfootnote6sym"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6</w:t>
      </w:r>
      <w:r>
        <w:rPr>
          <w:vertAlign w:val="superscript"/>
        </w:rPr>
        <w:fldChar w:fldCharType="end"/>
      </w:r>
      <w:bookmarkEnd w:id="5"/>
      <w:r>
        <w:t xml:space="preserve">, и как следствие появление писцов, работающих на заказ и на продажу. Процесс письма убыстряется и упрощается. Мастер больше руководствуется принципом удобства, а не красоты. В.Н. Щепкин так описывает </w:t>
      </w:r>
      <w:r>
        <w:rPr>
          <w:i/>
          <w:iCs/>
        </w:rPr>
        <w:t>полуустав</w:t>
      </w:r>
      <w:r>
        <w:t>: «</w:t>
      </w:r>
      <w:r>
        <w:rPr>
          <w:i/>
          <w:iCs/>
        </w:rPr>
        <w:t>… мельче и проще устава и имеет значительно больше сокращений; … бывает наклонным – к началу или концу строки, …прямые линии допускают некоторую кривизну, округлые – не представляют правильной дуги</w:t>
      </w:r>
      <w:r>
        <w:t>»</w:t>
      </w:r>
      <w:bookmarkStart w:id="6" w:name="sdfootnote7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"sdfootnote7sym"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7</w:t>
      </w:r>
      <w:r>
        <w:rPr>
          <w:vertAlign w:val="superscript"/>
        </w:rPr>
        <w:fldChar w:fldCharType="end"/>
      </w:r>
      <w:bookmarkEnd w:id="6"/>
      <w:r>
        <w:t xml:space="preserve">. Процесс распространения и усовершенствования </w:t>
      </w:r>
      <w:r>
        <w:rPr>
          <w:i/>
          <w:iCs/>
        </w:rPr>
        <w:t>полуустава</w:t>
      </w:r>
      <w:r>
        <w:t xml:space="preserve"> приводит к тому, что постепенно </w:t>
      </w:r>
      <w:r>
        <w:rPr>
          <w:i/>
          <w:iCs/>
        </w:rPr>
        <w:t>устав</w:t>
      </w:r>
      <w:r>
        <w:t xml:space="preserve"> даже из литургических памятников вытесняется </w:t>
      </w:r>
      <w:r>
        <w:rPr>
          <w:i/>
          <w:iCs/>
        </w:rPr>
        <w:t>каллиграфическим полууставом</w:t>
      </w:r>
      <w:r>
        <w:t xml:space="preserve">, который есть ни что иное, как </w:t>
      </w:r>
      <w:r>
        <w:rPr>
          <w:i/>
          <w:iCs/>
        </w:rPr>
        <w:t>полуустав</w:t>
      </w:r>
      <w:r>
        <w:t>,. написанный более аккуратно и с меньшим числом сокращений. Примером может служить Новгородское Евангелие (РГБ, Рогожск., № 138) являясь напристольным (следовательно литургическим) выполнено крупным полууставом с использованием вязи в заголовках.</w:t>
      </w:r>
    </w:p>
    <w:p w:rsidR="00FE3642" w:rsidRDefault="00365036">
      <w:pPr>
        <w:pStyle w:val="a3"/>
      </w:pPr>
      <w:r>
        <w:t>Вторая причина – это потребность монастырей в недорогих рукописях. Деликатно и скромно украшенные, как правило, написанные на бумаге, они содержали в себе, в основном, аскетические и монашеские сочинения. Ярким примером таких рукописей служат две Лествицы, созданные в Лисицком монастыре и датируемые 1431 г.</w:t>
      </w:r>
    </w:p>
    <w:p w:rsidR="00FE3642" w:rsidRDefault="00365036">
      <w:pPr>
        <w:pStyle w:val="a3"/>
      </w:pPr>
      <w:r>
        <w:t>Первая Лествица скомпонована с сочинениями Григория Синаита, инока Филофея, Исихия пресвитера и Нила Синайского (РГБ, ф 256, Рум., № 200). Вторая содержит в себе Поучения Исаака Сирина, аввы Дорофея, слово постнического Максима Исповедника (РГБ, ф. 304, Троицк., № 175). Оба текста написаны мелким полууставом с заголовками, украшенными вязью. Известно, что подобного рода тексты имеют не только Новгородское происхождение. Как указывает Э.С. Смирнова: «</w:t>
      </w:r>
      <w:r>
        <w:rPr>
          <w:i/>
          <w:iCs/>
        </w:rPr>
        <w:t>Новгородские и московские монастыри обменивались в этот период и образцами орнамента, и рукописями, и писцами</w:t>
      </w:r>
      <w:r>
        <w:t>»</w:t>
      </w:r>
      <w:bookmarkStart w:id="7" w:name="sdfootnote8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"sdfootnote8sym"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8</w:t>
      </w:r>
      <w:r>
        <w:rPr>
          <w:vertAlign w:val="superscript"/>
        </w:rPr>
        <w:fldChar w:fldCharType="end"/>
      </w:r>
      <w:bookmarkEnd w:id="7"/>
      <w:r>
        <w:t>. Так что традиция создания скромных рукописей аскетического содержания была, по-видимому, распространена на территории всей Руси.</w:t>
      </w:r>
    </w:p>
    <w:p w:rsidR="00FE3642" w:rsidRDefault="00365036">
      <w:pPr>
        <w:pStyle w:val="a3"/>
      </w:pPr>
      <w:r>
        <w:t>Третья причина – появление в этот период объёмных сборников, своего рода «энциклопедий всё обо всём». Примером могут служить Сборники монаха Кирилло-Белозерского монастыря Ефросина.</w:t>
      </w:r>
    </w:p>
    <w:p w:rsidR="00FE3642" w:rsidRDefault="00365036">
      <w:pPr>
        <w:pStyle w:val="a3"/>
      </w:pPr>
      <w:r>
        <w:t>Будучи довольно толстыми по объёму, иногда сшитые и скомпонованные из различных тетрадок, зачастую изначально не предназначенных друг для друга, они представляют собой настоящий калейдоскоп. Летописцы, хронограф, хождения, полемические сочинения против латинян, статьи по светскому и каноническому праву, соседствуют в них с заметками по географии, астрономии, медицине, зоологии, математике. Сборники содержат повесть об Александре Македонском, и о Дракуле, рассказ о Соломоне и Китоврасе, Суды Соломона вперемешку с фольклорными «Слово о Хмеле», «Плач Адама о Рае» и так далее.</w:t>
      </w:r>
    </w:p>
    <w:p w:rsidR="00FE3642" w:rsidRDefault="00365036">
      <w:pPr>
        <w:pStyle w:val="a3"/>
      </w:pPr>
      <w:r>
        <w:t>Естественно такого рода сборники писались быстро, не очень аккуратно и разными писцами. Для примера можно привести несколько рукописей из собрания Государственной Публичной Библиотеки (ГПБ).</w:t>
      </w:r>
    </w:p>
    <w:p w:rsidR="00FE3642" w:rsidRDefault="00365036">
      <w:pPr>
        <w:pStyle w:val="a3"/>
        <w:numPr>
          <w:ilvl w:val="0"/>
          <w:numId w:val="6"/>
        </w:numPr>
        <w:ind w:firstLine="480"/>
      </w:pPr>
      <w:r>
        <w:t>22/1099 Полуустав нескольких видов: крупный, средний, мелкий, очень мелкий. Переход от среднего полуустава к мелкому наблюдается даже в пределах одной строки.</w:t>
      </w:r>
    </w:p>
    <w:p w:rsidR="00FE3642" w:rsidRDefault="00365036">
      <w:pPr>
        <w:pStyle w:val="a3"/>
        <w:numPr>
          <w:ilvl w:val="0"/>
          <w:numId w:val="6"/>
        </w:numPr>
        <w:ind w:firstLine="480"/>
      </w:pPr>
      <w:r>
        <w:t>9/1086 Полуустав 11-ти видов.</w:t>
      </w:r>
    </w:p>
    <w:p w:rsidR="00FE3642" w:rsidRDefault="00365036">
      <w:pPr>
        <w:pStyle w:val="a3"/>
        <w:numPr>
          <w:ilvl w:val="0"/>
          <w:numId w:val="6"/>
        </w:numPr>
        <w:ind w:firstLine="480"/>
      </w:pPr>
      <w:r>
        <w:t>6/1083 Полуустав 13-ти видов.</w:t>
      </w:r>
    </w:p>
    <w:p w:rsidR="00FE3642" w:rsidRDefault="00365036">
      <w:pPr>
        <w:pStyle w:val="a3"/>
        <w:numPr>
          <w:ilvl w:val="0"/>
          <w:numId w:val="6"/>
        </w:numPr>
        <w:ind w:firstLine="480"/>
      </w:pPr>
      <w:r>
        <w:t>11/1088 Полуустав 3-х видов, заглавия, подзаголовки и начальные буквы прописаны киноварью.</w:t>
      </w:r>
    </w:p>
    <w:p w:rsidR="00FE3642" w:rsidRDefault="00365036">
      <w:pPr>
        <w:pStyle w:val="a3"/>
        <w:numPr>
          <w:ilvl w:val="0"/>
          <w:numId w:val="6"/>
        </w:numPr>
        <w:ind w:firstLine="480"/>
      </w:pPr>
      <w:r>
        <w:t>53/1130 Полуустав иногда переходящий в скоропись.</w:t>
      </w:r>
    </w:p>
    <w:p w:rsidR="00FE3642" w:rsidRDefault="00365036">
      <w:pPr>
        <w:pStyle w:val="a3"/>
      </w:pPr>
      <w:r>
        <w:t xml:space="preserve">На примере последней рукописи мы наблюдаем начальный этап постепенного распространения ещё одного типа письма – </w:t>
      </w:r>
      <w:r>
        <w:rPr>
          <w:i/>
          <w:iCs/>
        </w:rPr>
        <w:t>скорописи</w:t>
      </w:r>
      <w:r>
        <w:t>.</w:t>
      </w:r>
    </w:p>
    <w:p w:rsidR="00FE3642" w:rsidRDefault="00FE3642"/>
    <w:p w:rsidR="00FE3642" w:rsidRPr="00365036" w:rsidRDefault="00365036">
      <w:pPr>
        <w:pStyle w:val="a3"/>
      </w:pPr>
      <w:r>
        <w:rPr>
          <w:b/>
          <w:bCs/>
        </w:rPr>
        <w:t>Скоропись</w:t>
      </w:r>
    </w:p>
    <w:p w:rsidR="00FE3642" w:rsidRDefault="00FE3642"/>
    <w:p w:rsidR="00FE3642" w:rsidRPr="00365036" w:rsidRDefault="00365036">
      <w:pPr>
        <w:pStyle w:val="a3"/>
      </w:pPr>
      <w:r>
        <w:t>Скоропись появилась на Руси ещё в XI веке. Но основное развитие получила в конце XV в XVI и в XVII веках. Так что период её расцвета выходит за пределы обозначенных нами временных рамок, тем не менее, если в двух словах, то это приём письма, направленный на существенное ускорение процесса писания при не очень требовательных эстетических запросах. Ускорение достигается за счёт:</w:t>
      </w:r>
    </w:p>
    <w:p w:rsidR="00FE3642" w:rsidRDefault="00365036">
      <w:pPr>
        <w:pStyle w:val="a3"/>
        <w:numPr>
          <w:ilvl w:val="0"/>
          <w:numId w:val="7"/>
        </w:numPr>
        <w:ind w:firstLine="480"/>
      </w:pPr>
      <w:r>
        <w:t xml:space="preserve">Большей свободой нажимов и взмахов (этим достигается свобода и размашистость письма). Именно это является признаком великорусской скорописи, тогда как, например, византийская скоропись, которая получила название </w:t>
      </w:r>
      <w:r>
        <w:rPr>
          <w:i/>
          <w:iCs/>
        </w:rPr>
        <w:t>минускульного письма</w:t>
      </w:r>
      <w:r>
        <w:t>, отличалась более округлым и мелким характером.</w:t>
      </w:r>
    </w:p>
    <w:p w:rsidR="00FE3642" w:rsidRDefault="00365036">
      <w:pPr>
        <w:pStyle w:val="a3"/>
        <w:numPr>
          <w:ilvl w:val="0"/>
          <w:numId w:val="7"/>
        </w:numPr>
        <w:ind w:firstLine="480"/>
      </w:pPr>
      <w:r>
        <w:t>Безотрывного написания соседних букв.</w:t>
      </w:r>
    </w:p>
    <w:p w:rsidR="00FE3642" w:rsidRDefault="00365036">
      <w:pPr>
        <w:pStyle w:val="a3"/>
        <w:numPr>
          <w:ilvl w:val="0"/>
          <w:numId w:val="7"/>
        </w:numPr>
        <w:ind w:firstLine="480"/>
      </w:pPr>
      <w:r>
        <w:t>Более многочисленных, чем в полууставе, сокращений, носящих существенно иной характер.</w:t>
      </w:r>
    </w:p>
    <w:p w:rsidR="00FE3642" w:rsidRDefault="00365036">
      <w:pPr>
        <w:pStyle w:val="a3"/>
      </w:pPr>
      <w:r>
        <w:t xml:space="preserve">Большое развитие скоропись получила сначала в международных и правовых отношениях, а затем в государственном и частном управлении, постепенно вытесняя </w:t>
      </w:r>
      <w:r>
        <w:rPr>
          <w:i/>
          <w:iCs/>
        </w:rPr>
        <w:t>полуустав</w:t>
      </w:r>
      <w:r>
        <w:t>.</w:t>
      </w:r>
    </w:p>
    <w:p w:rsidR="00FE3642" w:rsidRDefault="00FE3642"/>
    <w:p w:rsidR="00FE3642" w:rsidRPr="00365036" w:rsidRDefault="00365036">
      <w:pPr>
        <w:pStyle w:val="a3"/>
      </w:pPr>
      <w:r>
        <w:t>Завершая всё выше сказанное, следует отметить, что выбор типа письма в древнерусской рукописной книге никогда не носил произвольного характера. Тип письма всегда соотносился с функциональным назначением текста и был гармонично подчинён общехудожественному замыслу.</w:t>
      </w:r>
    </w:p>
    <w:p w:rsidR="00FE3642" w:rsidRDefault="00FE3642"/>
    <w:p w:rsidR="00FE3642" w:rsidRPr="00365036" w:rsidRDefault="00365036">
      <w:pPr>
        <w:pStyle w:val="a3"/>
      </w:pPr>
      <w:r>
        <w:rPr>
          <w:b/>
          <w:bCs/>
        </w:rPr>
        <w:t>Расположение текста на листе</w:t>
      </w:r>
    </w:p>
    <w:p w:rsidR="00FE3642" w:rsidRDefault="00FE3642"/>
    <w:p w:rsidR="00FE3642" w:rsidRPr="00365036" w:rsidRDefault="00365036">
      <w:pPr>
        <w:pStyle w:val="a3"/>
      </w:pPr>
      <w:r>
        <w:t>К более архаичной традиции расположения текста на листе относится расположение в два, реже в три или четыре столбца. Такое расположение отражало довольно древнюю Византийскую традицию писать неширокими столбцами, в среднем по двенадцать букв в строке</w:t>
      </w:r>
      <w:bookmarkStart w:id="8" w:name="sdfootnote9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"sdfootnote9sym"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9</w:t>
      </w:r>
      <w:r>
        <w:rPr>
          <w:vertAlign w:val="superscript"/>
        </w:rPr>
        <w:fldChar w:fldCharType="end"/>
      </w:r>
      <w:bookmarkEnd w:id="8"/>
      <w:r>
        <w:t>. Именно такое (в два столбца) расположение текста мы видим на двух памятниках Московской школы середины XIV века:</w:t>
      </w:r>
    </w:p>
    <w:p w:rsidR="00FE3642" w:rsidRDefault="00365036">
      <w:pPr>
        <w:pStyle w:val="a3"/>
        <w:numPr>
          <w:ilvl w:val="0"/>
          <w:numId w:val="8"/>
        </w:numPr>
        <w:ind w:firstLine="480"/>
      </w:pPr>
      <w:r>
        <w:t>С</w:t>
      </w:r>
      <w:r w:rsidR="00054C8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312pt;height:410.25pt">
            <v:imagedata r:id="rId5" o:title=""/>
          </v:shape>
        </w:pict>
      </w:r>
      <w:r>
        <w:t>ийское Евангелие 1339-1340 гг. (БАН, Арх., № 338) – самая старая Московская рукопись. Получила своё название по месту нахождения в Антониево-Сийском монастыре, который находится в нижнем течении Северной Двины на речке Сие в 78 верстах к югу от Холмогор, Архангельской области. Рукопись была обнаружена в 1829 году П.М. Строевым (1796-1876). Евангелие лицевое, что свойственно далеко не всем книгам того времени</w:t>
      </w:r>
      <w:bookmarkStart w:id="9" w:name="sdfootnote10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"sdfootnote10sym"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10</w:t>
      </w:r>
      <w:r>
        <w:rPr>
          <w:vertAlign w:val="superscript"/>
        </w:rPr>
        <w:fldChar w:fldCharType="end"/>
      </w:r>
      <w:bookmarkEnd w:id="9"/>
      <w:r>
        <w:t xml:space="preserve">, имеет разметку в </w:t>
      </w:r>
      <w:r>
        <w:rPr>
          <w:b/>
          <w:bCs/>
        </w:rPr>
        <w:t>два столбца</w:t>
      </w:r>
      <w:r>
        <w:t xml:space="preserve"> на двадцать четыре строки (илл.№1). Памятник представляет собой классический пример произведения лучших Московских мастеров и выполнен по заказу Великого князя Ивана Калиты.</w:t>
      </w:r>
    </w:p>
    <w:p w:rsidR="00FE3642" w:rsidRDefault="00FE3642"/>
    <w:p w:rsidR="00FE3642" w:rsidRPr="00365036" w:rsidRDefault="00365036">
      <w:pPr>
        <w:pStyle w:val="a3"/>
      </w:pPr>
      <w:r>
        <w:t>Иллюстрация № 1.</w:t>
      </w:r>
    </w:p>
    <w:p w:rsidR="00FE3642" w:rsidRDefault="00FE3642"/>
    <w:p w:rsidR="00FE3642" w:rsidRPr="00365036" w:rsidRDefault="00365036">
      <w:pPr>
        <w:pStyle w:val="a3"/>
        <w:numPr>
          <w:ilvl w:val="0"/>
          <w:numId w:val="9"/>
        </w:numPr>
        <w:ind w:firstLine="480"/>
      </w:pPr>
      <w:r>
        <w:t xml:space="preserve">Евангелие Симеона Гордого 1344 год (ГБЛ, ф. 304, М. 8653). Находилось в Троице-Сергиевой лавре, куда попало в промежутке между 1538-1641 гг. из села Подчерткова около Дмитрова. Несмотря на то, что по внешнему виду Евангелие явно литургического назначения (напрестольное), имеет не обычный состав: Четвероевангелие апракос + Апостол апракос. По-видимому, Книга была написана специально для поездок в Орду и использовалась в переносной Церкве. В тексте присутствует классическое разделение на </w:t>
      </w:r>
      <w:r>
        <w:rPr>
          <w:b/>
          <w:bCs/>
        </w:rPr>
        <w:t>два</w:t>
      </w:r>
      <w:r>
        <w:t xml:space="preserve"> столбца (иллюстрация № 2), </w:t>
      </w:r>
      <w:r>
        <w:rPr>
          <w:i/>
          <w:iCs/>
        </w:rPr>
        <w:t xml:space="preserve">уставное </w:t>
      </w:r>
      <w:r>
        <w:t>письмо необыкновенно чёткое и ровное.</w:t>
      </w:r>
    </w:p>
    <w:p w:rsidR="00FE3642" w:rsidRDefault="00365036">
      <w:pPr>
        <w:pStyle w:val="a3"/>
      </w:pPr>
      <w:r>
        <w:t>Иллюстрация №2.</w:t>
      </w:r>
    </w:p>
    <w:p w:rsidR="00FE3642" w:rsidRDefault="00FE3642"/>
    <w:p w:rsidR="00FE3642" w:rsidRPr="00365036" w:rsidRDefault="00365036">
      <w:pPr>
        <w:pStyle w:val="a3"/>
      </w:pPr>
      <w:r>
        <w:t>С</w:t>
      </w:r>
      <w:r w:rsidR="00054C8D">
        <w:rPr>
          <w:noProof/>
        </w:rPr>
        <w:pict>
          <v:shape id="_x0000_i1034" type="#_x0000_t75" style="width:357.75pt;height:413.25pt">
            <v:imagedata r:id="rId6" o:title=""/>
          </v:shape>
        </w:pict>
      </w:r>
      <w:r>
        <w:t>о временем проис</w:t>
      </w:r>
      <w:r>
        <w:softHyphen/>
        <w:t>ходит изменение рас</w:t>
      </w:r>
      <w:r>
        <w:softHyphen/>
        <w:t>положения текста, и всё чаще использу</w:t>
      </w:r>
      <w:r>
        <w:softHyphen/>
        <w:t xml:space="preserve">ется, так называемая, </w:t>
      </w:r>
      <w:r>
        <w:rPr>
          <w:i/>
          <w:iCs/>
        </w:rPr>
        <w:t>длинная строка.</w:t>
      </w:r>
      <w:r>
        <w:t xml:space="preserve"> Раз</w:t>
      </w:r>
      <w:r>
        <w:softHyphen/>
        <w:t>метка листа идёт от края до края без де</w:t>
      </w:r>
      <w:r>
        <w:softHyphen/>
        <w:t>ления на столбцы. В первую очередь та</w:t>
      </w:r>
      <w:r>
        <w:softHyphen/>
        <w:t>кой стиль появляется в нелитургических источниках. Приме</w:t>
      </w:r>
      <w:r>
        <w:softHyphen/>
        <w:t>ром подобного рас</w:t>
      </w:r>
      <w:r>
        <w:softHyphen/>
        <w:t>положения текста может служить Ме</w:t>
      </w:r>
      <w:r>
        <w:softHyphen/>
        <w:t xml:space="preserve">рило Праведное (ГБЛ, ф. 304, № 15). </w:t>
      </w:r>
    </w:p>
    <w:p w:rsidR="00FE3642" w:rsidRDefault="00365036">
      <w:pPr>
        <w:pStyle w:val="a3"/>
      </w:pPr>
      <w:r>
        <w:t>Произведение Твер</w:t>
      </w:r>
      <w:r>
        <w:softHyphen/>
        <w:t>ских мастеров Ме</w:t>
      </w:r>
      <w:r>
        <w:softHyphen/>
        <w:t>рило Праведное представляет из себя сбор</w:t>
      </w:r>
      <w:r>
        <w:softHyphen/>
        <w:t>ник небольшого количества поучений о праведных и непра</w:t>
      </w:r>
      <w:r>
        <w:softHyphen/>
        <w:t>ведных судьях и до</w:t>
      </w:r>
      <w:r>
        <w:softHyphen/>
        <w:t>вольно объёмного свода за</w:t>
      </w:r>
      <w:r>
        <w:softHyphen/>
        <w:t>конов, куда входит и пространная Русская Правда. Несмотря на то, что написано оно несколькими писцами, – почерк ровный, тщательный и на редкость красивый (иллюстрация № 3).</w:t>
      </w:r>
    </w:p>
    <w:p w:rsidR="00FE3642" w:rsidRDefault="00365036">
      <w:pPr>
        <w:pStyle w:val="a3"/>
      </w:pPr>
      <w:r>
        <w:t xml:space="preserve">Но не везде новый стиль распространялся с одинаковой скоростью. Можно отметить, что в работах Новгородских мастеров архаичная манера деления на столбцы продержалась значительно дольше, чем в Московской школе, которая больше была подвержена новым веяньям. </w:t>
      </w:r>
    </w:p>
    <w:p w:rsidR="00FE3642" w:rsidRDefault="00365036">
      <w:pPr>
        <w:pStyle w:val="a3"/>
      </w:pPr>
      <w:r>
        <w:t>Помимо общепринятого расположения текста в источниках встречается и явно декоративное его использование. Текст мог располагаться треугольником, квадратом, крестом или по кругу, напоминая собой надпись на чаше или на окладе иконы. Так в Октоихе 1435 года, исполненном для Софийского Собора в Новгороде (ГИМ, Син. 199) запись писца о начале работы исполнена киноварью парадным уставом и расположена вокруг текста, как обрамление. Текст надписи гласит: «Господи, помози. По замышлению господина преосвященного архиепископа Великого Новгорода владыки Еуфимиа начах сию книгу писати глаголемыи Осмогласникъ месяца маиа в 1 день, на память святого пророка Иеремиа, в дом божий Софии. Господи, спаси».</w:t>
      </w:r>
    </w:p>
    <w:p w:rsidR="00FE3642" w:rsidRDefault="00FE3642"/>
    <w:p w:rsidR="00FE3642" w:rsidRPr="00365036" w:rsidRDefault="00365036">
      <w:pPr>
        <w:pStyle w:val="a3"/>
      </w:pPr>
      <w:r>
        <w:rPr>
          <w:b/>
          <w:bCs/>
        </w:rPr>
        <w:t>Декоративное использование шрифта.</w:t>
      </w:r>
    </w:p>
    <w:p w:rsidR="00FE3642" w:rsidRDefault="00FE3642"/>
    <w:p w:rsidR="00FE3642" w:rsidRPr="00365036" w:rsidRDefault="00365036">
      <w:pPr>
        <w:pStyle w:val="a3"/>
      </w:pPr>
      <w:r>
        <w:t>О</w:t>
      </w:r>
      <w:r w:rsidR="00054C8D">
        <w:rPr>
          <w:noProof/>
        </w:rPr>
        <w:pict>
          <v:shape id="_x0000_i1037" type="#_x0000_t75" style="width:297pt;height:430.5pt">
            <v:imagedata r:id="rId7" o:title=""/>
          </v:shape>
        </w:pict>
      </w:r>
      <w:r>
        <w:t xml:space="preserve">дно из самых интересных направлений в декоративном использовании славянского устава является </w:t>
      </w:r>
      <w:r>
        <w:rPr>
          <w:b/>
          <w:bCs/>
        </w:rPr>
        <w:t>вязь</w:t>
      </w:r>
      <w:r>
        <w:t>. По определению В.Н. Щепкина: «Вязью называется кирилловское декоративное письмо, имеющее целью связать строку в непрерывный и равномерный орнамент. Эта цель достигается различного рода сокращениями и украшениями»</w:t>
      </w:r>
      <w:bookmarkStart w:id="10" w:name="sdfootnote11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"sdfootnote11sym"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11</w:t>
      </w:r>
      <w:r>
        <w:rPr>
          <w:vertAlign w:val="superscript"/>
        </w:rPr>
        <w:fldChar w:fldCharType="end"/>
      </w:r>
      <w:bookmarkEnd w:id="10"/>
      <w:r>
        <w:t>. Система письма вязью была заимствована южными славянами из Византии, но значительно позже возникновения, собственно, славянской письменности и поэтому в ранних памятниках она не встречается. Первые, точно датированные памятники южно славянского происхождения относятся к первой половине XIII века, а у русских – к концу XIV века. И именно на русской почве искусство вязи достигло такого расцвета, что может по праву считаться нашим уникальным вкладом в мировую культуру. Данному явлению способствовало два обстоятельства:</w:t>
      </w:r>
    </w:p>
    <w:p w:rsidR="00FE3642" w:rsidRDefault="00365036">
      <w:pPr>
        <w:pStyle w:val="a3"/>
        <w:numPr>
          <w:ilvl w:val="0"/>
          <w:numId w:val="10"/>
        </w:numPr>
        <w:ind w:firstLine="480"/>
      </w:pPr>
      <w:r>
        <w:t xml:space="preserve">Основным техническим </w:t>
      </w:r>
    </w:p>
    <w:p w:rsidR="00FE3642" w:rsidRDefault="00365036">
      <w:pPr>
        <w:pStyle w:val="a3"/>
      </w:pPr>
      <w:r>
        <w:t>Иллюстрация № 3.</w:t>
      </w:r>
    </w:p>
    <w:p w:rsidR="00FE3642" w:rsidRDefault="00365036">
      <w:pPr>
        <w:pStyle w:val="a3"/>
      </w:pPr>
      <w:r>
        <w:t xml:space="preserve">приёмом вязи является так называемая </w:t>
      </w:r>
      <w:r>
        <w:rPr>
          <w:i/>
          <w:iCs/>
        </w:rPr>
        <w:t>мачтовая лигатура</w:t>
      </w:r>
      <w:r>
        <w:t>. То есть две вертикальные линии двух рядом стоящих букв соединяются в одну. И если в греческом алфавите 24 знака, из которых только 12 имеют мачты, что на практике допускает не более 40 двузначных сочетаний, то кириллица имеет 26 знаков с мачтами, из которых составлялось около 450 общеупотребительных сочетаний.</w:t>
      </w:r>
    </w:p>
    <w:p w:rsidR="00FE3642" w:rsidRDefault="00365036">
      <w:pPr>
        <w:pStyle w:val="a3"/>
        <w:numPr>
          <w:ilvl w:val="0"/>
          <w:numId w:val="11"/>
        </w:numPr>
        <w:ind w:firstLine="480"/>
      </w:pPr>
      <w:r>
        <w:t xml:space="preserve">Распространение вязи совпало с тем периодом, когда из славянских языков стали исчезать слабые полугласные: </w:t>
      </w:r>
      <w:r>
        <w:rPr>
          <w:b/>
          <w:bCs/>
        </w:rPr>
        <w:t xml:space="preserve">ъ </w:t>
      </w:r>
      <w:r>
        <w:t>и</w:t>
      </w:r>
      <w:r>
        <w:rPr>
          <w:b/>
          <w:bCs/>
        </w:rPr>
        <w:t xml:space="preserve"> ь</w:t>
      </w:r>
      <w:r>
        <w:t>. Это привело к соприкосновению самых разных согласных, которые очень удобно сочетались мачтовыми лигатурами.</w:t>
      </w:r>
    </w:p>
    <w:p w:rsidR="00FE3642" w:rsidRDefault="00365036">
      <w:pPr>
        <w:pStyle w:val="a3"/>
        <w:numPr>
          <w:ilvl w:val="0"/>
          <w:numId w:val="11"/>
        </w:numPr>
        <w:ind w:firstLine="480"/>
      </w:pPr>
      <w:r>
        <w:t>Ввиду своей декоративной привлекательности вязь получила повсеместное распространение. Ею украшали фрески, иконы, колокола, металлическую утварь, использовали в шитье, на надгробьях и т. д. Примеры использования вязи в книжном искусстве в иллюстрации № 4.</w:t>
      </w:r>
    </w:p>
    <w:p w:rsidR="00FE3642" w:rsidRDefault="00FE3642"/>
    <w:p w:rsidR="00FE3642" w:rsidRPr="00365036" w:rsidRDefault="00365036">
      <w:pPr>
        <w:pStyle w:val="a3"/>
      </w:pPr>
      <w:r>
        <w:t xml:space="preserve">Ещё один интересный феномен декоративного использования уставного шрифта – это возникновение в середине XV века русского </w:t>
      </w:r>
      <w:r>
        <w:rPr>
          <w:b/>
          <w:bCs/>
          <w:i/>
          <w:iCs/>
        </w:rPr>
        <w:t>экслибриса</w:t>
      </w:r>
      <w:r>
        <w:t>. Вот, что об этом пишет Н.Н. Розов: «</w:t>
      </w:r>
      <w:r>
        <w:rPr>
          <w:i/>
          <w:iCs/>
        </w:rPr>
        <w:t>Имя Досифея следует назвать первым и в ряду соловецких библиофилов – даже в современном смысле этого слова: он был создатель первого русского книжного знака – экслибриса</w:t>
      </w:r>
      <w:r>
        <w:t>»</w:t>
      </w:r>
      <w:bookmarkStart w:id="11" w:name="sdfootnote12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"sdfootnote12sym"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12</w:t>
      </w:r>
      <w:r>
        <w:rPr>
          <w:vertAlign w:val="superscript"/>
        </w:rPr>
        <w:fldChar w:fldCharType="end"/>
      </w:r>
      <w:bookmarkEnd w:id="11"/>
      <w:r>
        <w:t>.</w:t>
      </w:r>
    </w:p>
    <w:p w:rsidR="00FE3642" w:rsidRDefault="00FE3642"/>
    <w:p w:rsidR="00FE3642" w:rsidRPr="00365036" w:rsidRDefault="00365036">
      <w:pPr>
        <w:pStyle w:val="a3"/>
      </w:pPr>
      <w:r>
        <w:t>О</w:t>
      </w:r>
      <w:r w:rsidR="00054C8D">
        <w:rPr>
          <w:noProof/>
        </w:rPr>
        <w:pict>
          <v:shape id="_x0000_i1040" type="#_x0000_t75" style="width:307.5pt;height:426.75pt">
            <v:imagedata r:id="rId8" o:title=""/>
          </v:shape>
        </w:pict>
      </w:r>
      <w:r>
        <w:t xml:space="preserve">писывая декоративное применение букв кириллического письма нельзя не упомянуть об </w:t>
      </w:r>
      <w:r>
        <w:rPr>
          <w:b/>
          <w:bCs/>
          <w:i/>
          <w:iCs/>
        </w:rPr>
        <w:t>инициалах</w:t>
      </w:r>
      <w:r>
        <w:t>.</w:t>
      </w:r>
    </w:p>
    <w:p w:rsidR="00FE3642" w:rsidRDefault="00365036">
      <w:pPr>
        <w:pStyle w:val="a3"/>
      </w:pPr>
      <w:r>
        <w:t xml:space="preserve">Заимствованный из Византии приём выделения начальных букв особо важных текстовых фрагментов претерпел у южных славян существенные изменения. Славянская манера рисования инициалов и заставок получила название </w:t>
      </w:r>
      <w:r>
        <w:rPr>
          <w:b/>
          <w:bCs/>
        </w:rPr>
        <w:t>тератологический стиль</w:t>
      </w:r>
      <w:bookmarkStart w:id="12" w:name="sdfootnote13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"sdfootnote13sym"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13</w:t>
      </w:r>
      <w:r>
        <w:rPr>
          <w:vertAlign w:val="superscript"/>
        </w:rPr>
        <w:fldChar w:fldCharType="end"/>
      </w:r>
      <w:bookmarkEnd w:id="12"/>
      <w:r>
        <w:t>. Изначально сложившийся у болгар в XII веке, он с начала XII века стал переходить в Россию. Существует два основных признака тератологии:</w:t>
      </w:r>
    </w:p>
    <w:p w:rsidR="00FE3642" w:rsidRDefault="00365036">
      <w:pPr>
        <w:pStyle w:val="a3"/>
        <w:numPr>
          <w:ilvl w:val="0"/>
          <w:numId w:val="12"/>
        </w:numPr>
        <w:ind w:firstLine="480"/>
      </w:pPr>
      <w:r>
        <w:t>Тератологические инициалы, в отличие от византийских, построены без геометрических рам и каркасов.</w:t>
      </w:r>
    </w:p>
    <w:p w:rsidR="00FE3642" w:rsidRDefault="00365036">
      <w:pPr>
        <w:pStyle w:val="a3"/>
        <w:numPr>
          <w:ilvl w:val="0"/>
          <w:numId w:val="12"/>
        </w:numPr>
        <w:ind w:firstLine="480"/>
      </w:pPr>
      <w:r>
        <w:t>В тератологическом инициале сливаются воедино ранее раздельные мотивы «живого существа», «плетенья», «растения».</w:t>
      </w:r>
    </w:p>
    <w:p w:rsidR="00FE3642" w:rsidRDefault="00365036">
      <w:pPr>
        <w:pStyle w:val="a3"/>
      </w:pPr>
      <w:r>
        <w:t>«</w:t>
      </w:r>
      <w:r>
        <w:rPr>
          <w:i/>
          <w:iCs/>
        </w:rPr>
        <w:t xml:space="preserve">Типичный тератологический </w:t>
      </w:r>
    </w:p>
    <w:p w:rsidR="00FE3642" w:rsidRDefault="00365036">
      <w:pPr>
        <w:pStyle w:val="a3"/>
      </w:pPr>
      <w:r>
        <w:t>Иллюстрация № 4.</w:t>
      </w:r>
    </w:p>
    <w:p w:rsidR="00FE3642" w:rsidRDefault="00365036">
      <w:pPr>
        <w:pStyle w:val="a3"/>
      </w:pPr>
      <w:r>
        <w:rPr>
          <w:i/>
          <w:iCs/>
        </w:rPr>
        <w:t>инициал представляет из себя птицу или зверя (четвероногое), выбрасывающих изо рта листву и опутанных плетением, исходящим из хвоста (или у птицы – также из крыла)</w:t>
      </w:r>
      <w:r>
        <w:t>»</w:t>
      </w:r>
      <w:bookmarkStart w:id="13" w:name="sdfootnote14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"sdfootnote14sym"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14</w:t>
      </w:r>
      <w:r>
        <w:rPr>
          <w:vertAlign w:val="superscript"/>
        </w:rPr>
        <w:fldChar w:fldCharType="end"/>
      </w:r>
      <w:bookmarkEnd w:id="13"/>
      <w:r>
        <w:t>.</w:t>
      </w:r>
    </w:p>
    <w:p w:rsidR="00FE3642" w:rsidRDefault="00365036">
      <w:pPr>
        <w:pStyle w:val="a3"/>
      </w:pPr>
      <w:r>
        <w:t>Помимо необыкновенно выразительного графического исполнения (иллюстрация № 5) инициалы имели насыщенную цветовую гамму. Но полихромия, которая составляет характерную черту книгописного орнамента XIV века, помимо художественного, имела ещё и прикладное значение. Зачастую сложная конструкция рисованной буквы с её многочисленными чисто декоративными элементами затемняла главное начертание письменного знака. И для его быстрого узнавания в тексте требовалось цветовое выделение. Причём по цвету выделения можно приблизительно определить место создания рукописи. Так,</w:t>
      </w:r>
    </w:p>
    <w:p w:rsidR="00FE3642" w:rsidRDefault="00365036">
      <w:pPr>
        <w:pStyle w:val="a3"/>
      </w:pPr>
      <w:r>
        <w:t xml:space="preserve">Новгородцы предпочитали синий фон, а Псковские мастера – зелёный. Светло-зелёный фон употребляли и в Москве, но иногда с добавлением голубых тонов. Тератологический стиль в оформлении книги был, конечно, </w:t>
      </w:r>
    </w:p>
    <w:p w:rsidR="00FE3642" w:rsidRDefault="00054C8D">
      <w:pPr>
        <w:pStyle w:val="a3"/>
      </w:pPr>
      <w:r>
        <w:rPr>
          <w:noProof/>
        </w:rPr>
        <w:pict>
          <v:shape id="_x0000_i1043" type="#_x0000_t75" style="width:295.5pt;height:412.5pt">
            <v:imagedata r:id="rId9" o:title=""/>
          </v:shape>
        </w:pict>
      </w:r>
      <w:r w:rsidR="00365036">
        <w:t>не единственный</w:t>
      </w:r>
      <w:bookmarkStart w:id="14" w:name="sdfootnote15anc"/>
      <w:r w:rsidR="00365036">
        <w:rPr>
          <w:vertAlign w:val="superscript"/>
        </w:rPr>
        <w:fldChar w:fldCharType="begin"/>
      </w:r>
      <w:r w:rsidR="00365036">
        <w:rPr>
          <w:vertAlign w:val="superscript"/>
        </w:rPr>
        <w:instrText xml:space="preserve"> HYPERLINK "" \l "sdfootnote15sym" </w:instrText>
      </w:r>
      <w:r w:rsidR="00365036">
        <w:rPr>
          <w:vertAlign w:val="superscript"/>
        </w:rPr>
        <w:fldChar w:fldCharType="separate"/>
      </w:r>
      <w:r w:rsidR="00365036">
        <w:rPr>
          <w:rStyle w:val="a4"/>
          <w:vertAlign w:val="superscript"/>
        </w:rPr>
        <w:t>15</w:t>
      </w:r>
      <w:r w:rsidR="00365036">
        <w:rPr>
          <w:vertAlign w:val="superscript"/>
        </w:rPr>
        <w:fldChar w:fldCharType="end"/>
      </w:r>
      <w:bookmarkEnd w:id="14"/>
      <w:r w:rsidR="00365036">
        <w:t>, но весьма распространённый.</w:t>
      </w:r>
    </w:p>
    <w:p w:rsidR="00FE3642" w:rsidRDefault="00365036">
      <w:pPr>
        <w:pStyle w:val="a3"/>
      </w:pPr>
      <w:r>
        <w:t>Ещё один элемент украшения рукописной, а впоследствии и печатной книги – заставка, имеет прямое отношение к затронутой теме. Ведь тератологическая заставка это не что иное, как два тератологических инициала, расположенных симметрично один напротив другого, обрамлённых рамой, с плетёными узлами по углам.</w:t>
      </w:r>
    </w:p>
    <w:p w:rsidR="00FE3642" w:rsidRDefault="00FE3642"/>
    <w:p w:rsidR="00FE3642" w:rsidRPr="00365036" w:rsidRDefault="00365036">
      <w:pPr>
        <w:pStyle w:val="a3"/>
      </w:pPr>
      <w:r>
        <w:t xml:space="preserve">Таким образом, в руках русских мастеров обычные буквы кириллического алфавита превращаются в самые разнообразные элементы декоративной отделки, внося в </w:t>
      </w:r>
    </w:p>
    <w:p w:rsidR="00FE3642" w:rsidRDefault="00365036">
      <w:pPr>
        <w:pStyle w:val="a3"/>
      </w:pPr>
      <w:r>
        <w:t>Иллюстрация № 5.</w:t>
      </w:r>
    </w:p>
    <w:p w:rsidR="00FE3642" w:rsidRDefault="00365036">
      <w:pPr>
        <w:pStyle w:val="a3"/>
      </w:pPr>
      <w:r>
        <w:t>книги индивидуальный творческий дух и национальный колорит.</w:t>
      </w:r>
    </w:p>
    <w:p w:rsidR="00FE3642" w:rsidRDefault="00FE3642"/>
    <w:p w:rsidR="00FE3642" w:rsidRPr="00365036" w:rsidRDefault="00365036">
      <w:pPr>
        <w:pStyle w:val="a3"/>
      </w:pPr>
      <w:r>
        <w:rPr>
          <w:b/>
          <w:bCs/>
        </w:rPr>
        <w:t>Взаимодействие текста с миниатюрой</w:t>
      </w:r>
      <w:bookmarkStart w:id="15" w:name="sdfootnote16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"sdfootnote16sym"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16</w:t>
      </w:r>
      <w:r>
        <w:rPr>
          <w:vertAlign w:val="superscript"/>
        </w:rPr>
        <w:fldChar w:fldCharType="end"/>
      </w:r>
      <w:bookmarkEnd w:id="15"/>
      <w:r>
        <w:t xml:space="preserve"> </w:t>
      </w:r>
      <w:r>
        <w:rPr>
          <w:b/>
          <w:bCs/>
        </w:rPr>
        <w:t>и другими элементами ансамбля.</w:t>
      </w:r>
    </w:p>
    <w:p w:rsidR="00FE3642" w:rsidRDefault="00FE3642"/>
    <w:p w:rsidR="00FE3642" w:rsidRPr="00365036" w:rsidRDefault="00365036">
      <w:pPr>
        <w:pStyle w:val="a3"/>
      </w:pPr>
      <w:r>
        <w:t>Процесс создания книги сложный и многоступенчатый. В работу вовлечены многие мастера, работающие в самых разнообразных стилях</w:t>
      </w:r>
      <w:bookmarkStart w:id="16" w:name="sdfootnote17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"sdfootnote17sym"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17</w:t>
      </w:r>
      <w:r>
        <w:rPr>
          <w:vertAlign w:val="superscript"/>
        </w:rPr>
        <w:fldChar w:fldCharType="end"/>
      </w:r>
      <w:bookmarkEnd w:id="16"/>
      <w:r>
        <w:t>. Тем не менее, даже при поверхностном взгляде на книжные памятники древнерусских мастеров, заметно стремление к созданию целостного образа. К концу XIV началу XV века во взаимодействии книжного текста и миниатюры происходит существенное изменение, которое Н.Н. Розов охарактеризовал следующим образом: «</w:t>
      </w:r>
      <w:r>
        <w:rPr>
          <w:i/>
          <w:iCs/>
        </w:rPr>
        <w:t>Важно отметить, что с этого времени в истории художественного оформления русской книги выделяется и начинает самостоятельное развитие иллюстрация</w:t>
      </w:r>
      <w:r>
        <w:t>»</w:t>
      </w:r>
      <w:bookmarkStart w:id="17" w:name="sdfootnote18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"sdfootnote18sym"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18</w:t>
      </w:r>
      <w:r>
        <w:rPr>
          <w:vertAlign w:val="superscript"/>
        </w:rPr>
        <w:fldChar w:fldCharType="end"/>
      </w:r>
      <w:bookmarkEnd w:id="17"/>
      <w:r>
        <w:t xml:space="preserve">. И уже упоминавшееся нами Сийское Евангелие – это один из первых памятников, где миниатюра выступает именно в такой роли. В дальнейшем этот процесс будет только развиваться. </w:t>
      </w:r>
    </w:p>
    <w:p w:rsidR="00FE3642" w:rsidRDefault="00365036">
      <w:pPr>
        <w:pStyle w:val="a3"/>
      </w:pPr>
      <w:r>
        <w:t>Ещё одно направление взаимодействия – это пространственное расположение миниатюры по отношению к тексту. Если в ранних текстах с разбивкой на несколько столбцов миниатюры, в основном, не выходили за ширину столбца</w:t>
      </w:r>
      <w:bookmarkStart w:id="18" w:name="sdfootnote19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"sdfootnote19sym"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19</w:t>
      </w:r>
      <w:r>
        <w:rPr>
          <w:vertAlign w:val="superscript"/>
        </w:rPr>
        <w:fldChar w:fldCharType="end"/>
      </w:r>
      <w:bookmarkEnd w:id="18"/>
      <w:r>
        <w:t xml:space="preserve">, то с распространением </w:t>
      </w:r>
      <w:r>
        <w:rPr>
          <w:i/>
          <w:iCs/>
        </w:rPr>
        <w:t>длинной строки</w:t>
      </w:r>
      <w:r>
        <w:t xml:space="preserve"> миниатюры (уже переходящие в иллюстрации), начинают вытеснять текст.</w:t>
      </w:r>
    </w:p>
    <w:p w:rsidR="00FE3642" w:rsidRDefault="00FE3642"/>
    <w:p w:rsidR="00FE3642" w:rsidRPr="00365036" w:rsidRDefault="00365036">
      <w:pPr>
        <w:pStyle w:val="a3"/>
      </w:pPr>
      <w:r>
        <w:t>Так же естественно взаимодействуют между собой и другие элементы композиции. Не бывает, что: инициалы выполнены в одном стиле (например тератологические), а заставка или орнамент в другом (например геометрическом). Даже внешние детали (застёжки, узор доски и т. д.) не будут радикально отличаться от внутреннего оформления и конфликтовать с общим художественным замыслом.</w:t>
      </w:r>
    </w:p>
    <w:p w:rsidR="00FE3642" w:rsidRDefault="00FE3642"/>
    <w:p w:rsidR="00FE3642" w:rsidRPr="00365036" w:rsidRDefault="00365036">
      <w:pPr>
        <w:pStyle w:val="a3"/>
      </w:pPr>
      <w:r>
        <w:rPr>
          <w:b/>
          <w:bCs/>
        </w:rPr>
        <w:t>Заключение</w:t>
      </w:r>
    </w:p>
    <w:p w:rsidR="00FE3642" w:rsidRDefault="00FE3642"/>
    <w:p w:rsidR="00FE3642" w:rsidRPr="00365036" w:rsidRDefault="00365036">
      <w:pPr>
        <w:pStyle w:val="a3"/>
      </w:pPr>
      <w:r>
        <w:t>В завершение этой небольшой обзорной работы хотелось бы сказать, что великие русские мастера книжного дела оставили нам в наследство неисчерпаемый источник высокохудожественных произведений. А по-настоящему великое произведение не содержит мелочей. И каким бы незначительным и не существенным ни казался нам тип письма, он вносит свой элемент, свою художественную линию в сложную, многогранную палитру высокого искусства древнерусской рукописной книги. История развития, динамики и изменения текста, как самостоятельного элемента художественного образа книги, отражает в себе всю историю книгописания. И трудно недооценить значение именно текста, как – самого массивного элемента, в общем объёме художественного образа книги. А так как серьёзных научных работ на этом поприще ещё не создано, то задача современного искусствоведения заполнить образовавшуюся лакуну.</w:t>
      </w:r>
    </w:p>
    <w:p w:rsidR="00FE3642" w:rsidRDefault="00FE3642"/>
    <w:p w:rsidR="00FE3642" w:rsidRDefault="00365036">
      <w:pPr>
        <w:pStyle w:val="2"/>
      </w:pPr>
      <w:r>
        <w:t>Новый Гуманитарный Университет Натальи Нестеровой</w:t>
      </w:r>
    </w:p>
    <w:p w:rsidR="00FE3642" w:rsidRDefault="00FE3642"/>
    <w:bookmarkStart w:id="19" w:name="sdfootnote1sym"/>
    <w:p w:rsidR="00FE3642" w:rsidRPr="00365036" w:rsidRDefault="00365036">
      <w:pPr>
        <w:pStyle w:val="a3"/>
        <w:divId w:val="1348365606"/>
      </w:pPr>
      <w:r>
        <w:fldChar w:fldCharType="begin"/>
      </w:r>
      <w:r>
        <w:instrText xml:space="preserve"> HYPERLINK "" \l "sdfootnote1anc" </w:instrText>
      </w:r>
      <w:r>
        <w:fldChar w:fldCharType="separate"/>
      </w:r>
      <w:r>
        <w:rPr>
          <w:rStyle w:val="a4"/>
        </w:rPr>
        <w:t>1</w:t>
      </w:r>
      <w:r>
        <w:fldChar w:fldCharType="end"/>
      </w:r>
      <w:bookmarkEnd w:id="19"/>
      <w:r>
        <w:t xml:space="preserve"> «Мощный поток зарубежного книжного влияния хлынул в Россию во время завоевания турками Балканского полуострова. Не очень многочисленные, но опытные и энергичные болгарские и сербские книжники, такие, как митрополиты Кипрпан и Григорий Цамбалак, монах Пахомий Логофет и др., немало содействовали распространению на русскую литературу так называемого «второго южнославянского влияния», отразившегося как в содержании, так и в художественном оформлении книги того времени». Н.Н. Розов указанное сочинение стр. 14.</w:t>
      </w:r>
    </w:p>
    <w:bookmarkStart w:id="20" w:name="sdfootnote2sym"/>
    <w:p w:rsidR="00FE3642" w:rsidRDefault="00365036">
      <w:pPr>
        <w:pStyle w:val="a3"/>
        <w:divId w:val="2113627023"/>
      </w:pPr>
      <w:r>
        <w:fldChar w:fldCharType="begin"/>
      </w:r>
      <w:r>
        <w:instrText xml:space="preserve"> HYPERLINK "" \l "sdfootnote2anc" </w:instrText>
      </w:r>
      <w:r>
        <w:fldChar w:fldCharType="separate"/>
      </w:r>
      <w:r>
        <w:rPr>
          <w:rStyle w:val="a4"/>
        </w:rPr>
        <w:t>2</w:t>
      </w:r>
      <w:r>
        <w:fldChar w:fldCharType="end"/>
      </w:r>
      <w:bookmarkEnd w:id="20"/>
      <w:r>
        <w:t xml:space="preserve"> «Афонский монах Флофей стал патриархом Константинопольским в 1354 г. В столице тогда соперничали два типикона (сборника богослужебных правил). Традиционным был типикон Великой церкви, созданный в IX веке в монастыре св. Иоанна Студита. Однако к началу XII века постепенно начал обретать популярность типикон монастыря св. Саввы близ Иерусалима, благодаря не в последнею очередь содержавшимся в нём более подробным наставлениям по ведению службы». Хью Уайбру указанное сочинение стр. 165.</w:t>
      </w:r>
    </w:p>
    <w:bookmarkStart w:id="21" w:name="sdfootnote3sym"/>
    <w:p w:rsidR="00FE3642" w:rsidRDefault="00365036">
      <w:pPr>
        <w:pStyle w:val="a3"/>
        <w:divId w:val="245917899"/>
      </w:pPr>
      <w:r>
        <w:fldChar w:fldCharType="begin"/>
      </w:r>
      <w:r>
        <w:instrText xml:space="preserve"> HYPERLINK "" \l "sdfootnote3anc" </w:instrText>
      </w:r>
      <w:r>
        <w:fldChar w:fldCharType="separate"/>
      </w:r>
      <w:r>
        <w:rPr>
          <w:rStyle w:val="a4"/>
        </w:rPr>
        <w:t>3</w:t>
      </w:r>
      <w:r>
        <w:fldChar w:fldCharType="end"/>
      </w:r>
      <w:bookmarkEnd w:id="21"/>
      <w:r>
        <w:t xml:space="preserve"> «… те тенденции, которые складывались в Московской культуре и уже намечались до этого в Новгороде, как бы хлынули из Москвы в Новгород. Получив своеобразный Новгородский отпечаток, они определили облик новгородского книжного искусства 1480-1490 годов». Э.С. Смирнова указанное сочинение стр. 18.</w:t>
      </w:r>
    </w:p>
    <w:bookmarkStart w:id="22" w:name="sdfootnote4sym"/>
    <w:p w:rsidR="00FE3642" w:rsidRDefault="00365036">
      <w:pPr>
        <w:pStyle w:val="a3"/>
        <w:divId w:val="1770193538"/>
      </w:pPr>
      <w:r>
        <w:fldChar w:fldCharType="begin"/>
      </w:r>
      <w:r>
        <w:instrText xml:space="preserve"> HYPERLINK "" \l "sdfootnote4anc" </w:instrText>
      </w:r>
      <w:r>
        <w:fldChar w:fldCharType="separate"/>
      </w:r>
      <w:r>
        <w:rPr>
          <w:rStyle w:val="a4"/>
        </w:rPr>
        <w:t>4</w:t>
      </w:r>
      <w:r>
        <w:fldChar w:fldCharType="end"/>
      </w:r>
      <w:bookmarkEnd w:id="22"/>
      <w:r>
        <w:t xml:space="preserve"> В.Н. Щепкин указанное сочинение стр. 117.</w:t>
      </w:r>
    </w:p>
    <w:bookmarkStart w:id="23" w:name="sdfootnote5sym"/>
    <w:p w:rsidR="00FE3642" w:rsidRDefault="00365036">
      <w:pPr>
        <w:pStyle w:val="a3"/>
        <w:divId w:val="897713169"/>
      </w:pPr>
      <w:r>
        <w:fldChar w:fldCharType="begin"/>
      </w:r>
      <w:r>
        <w:instrText xml:space="preserve"> HYPERLINK "" \l "sdfootnote5anc" </w:instrText>
      </w:r>
      <w:r>
        <w:fldChar w:fldCharType="separate"/>
      </w:r>
      <w:r>
        <w:rPr>
          <w:rStyle w:val="a4"/>
        </w:rPr>
        <w:t>5</w:t>
      </w:r>
      <w:r>
        <w:fldChar w:fldCharType="end"/>
      </w:r>
      <w:bookmarkEnd w:id="23"/>
      <w:r>
        <w:t xml:space="preserve"> В.Н. Щепкин указанное сочинение стр. 117.</w:t>
      </w:r>
    </w:p>
    <w:bookmarkStart w:id="24" w:name="sdfootnote6sym"/>
    <w:p w:rsidR="00FE3642" w:rsidRDefault="00365036">
      <w:pPr>
        <w:pStyle w:val="a3"/>
        <w:divId w:val="356196440"/>
      </w:pPr>
      <w:r>
        <w:fldChar w:fldCharType="begin"/>
      </w:r>
      <w:r>
        <w:instrText xml:space="preserve"> HYPERLINK "" \l "sdfootnote6anc" </w:instrText>
      </w:r>
      <w:r>
        <w:fldChar w:fldCharType="separate"/>
      </w:r>
      <w:r>
        <w:rPr>
          <w:rStyle w:val="a4"/>
        </w:rPr>
        <w:t>6</w:t>
      </w:r>
      <w:r>
        <w:fldChar w:fldCharType="end"/>
      </w:r>
      <w:bookmarkEnd w:id="24"/>
      <w:r>
        <w:t xml:space="preserve"> «Появление полуустава, сначала в актах и грамотах, находилось в прямой связи с формированием единого Русского государства, сопровождавшимся резким увеличением и распространением деловой письменности». Н.Н. Розов указанное сочинение стр. 86.</w:t>
      </w:r>
    </w:p>
    <w:bookmarkStart w:id="25" w:name="sdfootnote7sym"/>
    <w:p w:rsidR="00FE3642" w:rsidRDefault="00365036">
      <w:pPr>
        <w:pStyle w:val="a3"/>
        <w:divId w:val="1674530631"/>
      </w:pPr>
      <w:r>
        <w:fldChar w:fldCharType="begin"/>
      </w:r>
      <w:r>
        <w:instrText xml:space="preserve"> HYPERLINK "" \l "sdfootnote7anc" </w:instrText>
      </w:r>
      <w:r>
        <w:fldChar w:fldCharType="separate"/>
      </w:r>
      <w:r>
        <w:rPr>
          <w:rStyle w:val="a4"/>
        </w:rPr>
        <w:t>7</w:t>
      </w:r>
      <w:r>
        <w:fldChar w:fldCharType="end"/>
      </w:r>
      <w:bookmarkEnd w:id="25"/>
      <w:r>
        <w:t xml:space="preserve"> В.Н. Щепкин указанное сочинение стр. 118.</w:t>
      </w:r>
    </w:p>
    <w:bookmarkStart w:id="26" w:name="sdfootnote8sym"/>
    <w:p w:rsidR="00FE3642" w:rsidRDefault="00365036">
      <w:pPr>
        <w:pStyle w:val="a3"/>
        <w:divId w:val="22825390"/>
      </w:pPr>
      <w:r>
        <w:fldChar w:fldCharType="begin"/>
      </w:r>
      <w:r>
        <w:instrText xml:space="preserve"> HYPERLINK "" \l "sdfootnote8anc" </w:instrText>
      </w:r>
      <w:r>
        <w:fldChar w:fldCharType="separate"/>
      </w:r>
      <w:r>
        <w:rPr>
          <w:rStyle w:val="a4"/>
        </w:rPr>
        <w:t>8</w:t>
      </w:r>
      <w:r>
        <w:fldChar w:fldCharType="end"/>
      </w:r>
      <w:bookmarkEnd w:id="26"/>
      <w:r>
        <w:t xml:space="preserve"> Э.С. Смирнова указанное сочинение стр. 33.</w:t>
      </w:r>
    </w:p>
    <w:bookmarkStart w:id="27" w:name="sdfootnote9sym"/>
    <w:p w:rsidR="00FE3642" w:rsidRDefault="00365036">
      <w:pPr>
        <w:pStyle w:val="a3"/>
        <w:divId w:val="1159350990"/>
      </w:pPr>
      <w:r>
        <w:fldChar w:fldCharType="begin"/>
      </w:r>
      <w:r>
        <w:instrText xml:space="preserve"> HYPERLINK "" \l "sdfootnote9anc" </w:instrText>
      </w:r>
      <w:r>
        <w:fldChar w:fldCharType="separate"/>
      </w:r>
      <w:r>
        <w:rPr>
          <w:rStyle w:val="a4"/>
        </w:rPr>
        <w:t>9</w:t>
      </w:r>
      <w:r>
        <w:fldChar w:fldCharType="end"/>
      </w:r>
      <w:bookmarkEnd w:id="27"/>
      <w:r>
        <w:t xml:space="preserve"> «Слово «унициал», «унициальный» происходят от латинского uncia, что означает «двенадцатая часть» чего-либо. Вероятно, это понятие было связано с буквами по той причине, что каждая из них занимала в рукописи приблизительно двенадцатую часть стандартной строки». Брюс М. Мецгер указанное сочинение стр. 7. </w:t>
      </w:r>
    </w:p>
    <w:bookmarkStart w:id="28" w:name="sdfootnote10sym"/>
    <w:p w:rsidR="00FE3642" w:rsidRDefault="00365036">
      <w:pPr>
        <w:pStyle w:val="a3"/>
        <w:divId w:val="1595432384"/>
      </w:pPr>
      <w:r>
        <w:fldChar w:fldCharType="begin"/>
      </w:r>
      <w:r>
        <w:instrText xml:space="preserve"> HYPERLINK "" \l "sdfootnote10anc" </w:instrText>
      </w:r>
      <w:r>
        <w:fldChar w:fldCharType="separate"/>
      </w:r>
      <w:r>
        <w:rPr>
          <w:rStyle w:val="a4"/>
        </w:rPr>
        <w:t>10</w:t>
      </w:r>
      <w:r>
        <w:fldChar w:fldCharType="end"/>
      </w:r>
      <w:bookmarkEnd w:id="28"/>
      <w:r>
        <w:t xml:space="preserve"> «Обзор монастырских рукописей середины XIV начала XV века приводит нас к выводу, что, за единичными исключениями, московские и подмосковные монастырские рукописные книги не имеют миниатюр». Г.И. Вздорнов «Искусство книги в Древней Руси. Русская рукописная книга Северо-Восточной Руси XII – начала XV веков». Стр. 87.</w:t>
      </w:r>
    </w:p>
    <w:p w:rsidR="00FE3642" w:rsidRDefault="00FE3642">
      <w:pPr>
        <w:divId w:val="1595432384"/>
      </w:pPr>
    </w:p>
    <w:bookmarkStart w:id="29" w:name="sdfootnote11sym"/>
    <w:p w:rsidR="00FE3642" w:rsidRPr="00365036" w:rsidRDefault="00365036">
      <w:pPr>
        <w:pStyle w:val="a3"/>
        <w:divId w:val="1066075265"/>
      </w:pPr>
      <w:r>
        <w:fldChar w:fldCharType="begin"/>
      </w:r>
      <w:r>
        <w:instrText xml:space="preserve"> HYPERLINK "" \l "sdfootnote11anc" </w:instrText>
      </w:r>
      <w:r>
        <w:fldChar w:fldCharType="separate"/>
      </w:r>
      <w:r>
        <w:rPr>
          <w:rStyle w:val="a4"/>
        </w:rPr>
        <w:t>11</w:t>
      </w:r>
      <w:r>
        <w:fldChar w:fldCharType="end"/>
      </w:r>
      <w:bookmarkEnd w:id="29"/>
      <w:r>
        <w:t xml:space="preserve"> В.Н. Щепкин указанное сочинение стр. 50.</w:t>
      </w:r>
    </w:p>
    <w:bookmarkStart w:id="30" w:name="sdfootnote12sym"/>
    <w:p w:rsidR="00FE3642" w:rsidRDefault="00365036">
      <w:pPr>
        <w:pStyle w:val="a3"/>
        <w:divId w:val="1660379175"/>
      </w:pPr>
      <w:r>
        <w:fldChar w:fldCharType="begin"/>
      </w:r>
      <w:r>
        <w:instrText xml:space="preserve"> HYPERLINK "" \l "sdfootnote12anc" </w:instrText>
      </w:r>
      <w:r>
        <w:fldChar w:fldCharType="separate"/>
      </w:r>
      <w:r>
        <w:rPr>
          <w:rStyle w:val="a4"/>
        </w:rPr>
        <w:t>12</w:t>
      </w:r>
      <w:r>
        <w:fldChar w:fldCharType="end"/>
      </w:r>
      <w:bookmarkEnd w:id="30"/>
      <w:r>
        <w:t xml:space="preserve"> Н.Н. Розов указанное сочинение стр. 121.</w:t>
      </w:r>
    </w:p>
    <w:bookmarkStart w:id="31" w:name="sdfootnote13sym"/>
    <w:p w:rsidR="00FE3642" w:rsidRDefault="00365036">
      <w:pPr>
        <w:pStyle w:val="a3"/>
        <w:divId w:val="1723287436"/>
      </w:pPr>
      <w:r>
        <w:fldChar w:fldCharType="begin"/>
      </w:r>
      <w:r>
        <w:instrText xml:space="preserve"> HYPERLINK "" \l "sdfootnote13anc" </w:instrText>
      </w:r>
      <w:r>
        <w:fldChar w:fldCharType="separate"/>
      </w:r>
      <w:r>
        <w:rPr>
          <w:rStyle w:val="a4"/>
        </w:rPr>
        <w:t>13</w:t>
      </w:r>
      <w:r>
        <w:fldChar w:fldCharType="end"/>
      </w:r>
      <w:bookmarkEnd w:id="31"/>
      <w:r>
        <w:t xml:space="preserve"> От греческого τήρας «чудовище», термин «тератологический стиль» введён в историю искусства Ф.И. Буслаевым.</w:t>
      </w:r>
    </w:p>
    <w:bookmarkStart w:id="32" w:name="sdfootnote14sym"/>
    <w:p w:rsidR="00FE3642" w:rsidRDefault="00365036">
      <w:pPr>
        <w:pStyle w:val="a3"/>
        <w:divId w:val="1574320188"/>
      </w:pPr>
      <w:r>
        <w:fldChar w:fldCharType="begin"/>
      </w:r>
      <w:r>
        <w:instrText xml:space="preserve"> HYPERLINK "" \l "sdfootnote14anc" </w:instrText>
      </w:r>
      <w:r>
        <w:fldChar w:fldCharType="separate"/>
      </w:r>
      <w:r>
        <w:rPr>
          <w:rStyle w:val="a4"/>
        </w:rPr>
        <w:t>14</w:t>
      </w:r>
      <w:r>
        <w:fldChar w:fldCharType="end"/>
      </w:r>
      <w:bookmarkEnd w:id="32"/>
      <w:r>
        <w:t xml:space="preserve"> В.Н. Щепкин указанное сочинение стр. 79.</w:t>
      </w:r>
    </w:p>
    <w:bookmarkStart w:id="33" w:name="sdfootnote15sym"/>
    <w:p w:rsidR="00FE3642" w:rsidRDefault="00365036">
      <w:pPr>
        <w:pStyle w:val="a3"/>
        <w:divId w:val="1720738708"/>
      </w:pPr>
      <w:r>
        <w:fldChar w:fldCharType="begin"/>
      </w:r>
      <w:r>
        <w:instrText xml:space="preserve"> HYPERLINK "" \l "sdfootnote15anc" </w:instrText>
      </w:r>
      <w:r>
        <w:fldChar w:fldCharType="separate"/>
      </w:r>
      <w:r>
        <w:rPr>
          <w:rStyle w:val="a4"/>
        </w:rPr>
        <w:t>15</w:t>
      </w:r>
      <w:r>
        <w:fldChar w:fldCharType="end"/>
      </w:r>
      <w:bookmarkEnd w:id="33"/>
      <w:r>
        <w:t xml:space="preserve"> «… в течении одного лишь столетия одновременно существовало и развивалось до пяти стилей орнаментов случай, в истории русской рукописной книги беспрецендентный». Н.Н. Розов указанное сочинение стр. 48.</w:t>
      </w:r>
    </w:p>
    <w:bookmarkStart w:id="34" w:name="sdfootnote16sym"/>
    <w:p w:rsidR="00FE3642" w:rsidRDefault="00365036">
      <w:pPr>
        <w:pStyle w:val="a3"/>
        <w:divId w:val="1031498141"/>
      </w:pPr>
      <w:r>
        <w:fldChar w:fldCharType="begin"/>
      </w:r>
      <w:r>
        <w:instrText xml:space="preserve"> HYPERLINK "" \l "sdfootnote16anc" </w:instrText>
      </w:r>
      <w:r>
        <w:fldChar w:fldCharType="separate"/>
      </w:r>
      <w:r>
        <w:rPr>
          <w:rStyle w:val="a4"/>
        </w:rPr>
        <w:t>16</w:t>
      </w:r>
      <w:r>
        <w:fldChar w:fldCharType="end"/>
      </w:r>
      <w:bookmarkEnd w:id="34"/>
      <w:r>
        <w:t xml:space="preserve"> «Слово «миниатюра» заимствовано русским языком через посредство французского языка из итальянского. Слово miniatura произведено от глагола miniare, который сам произведён от minium «сурик» и таким образом miniatura первоначально обозначало письмо или разрисовку красною краской». В.Н. Щепкин указанное сочинение стр. 97. </w:t>
      </w:r>
    </w:p>
    <w:bookmarkStart w:id="35" w:name="sdfootnote17sym"/>
    <w:p w:rsidR="00FE3642" w:rsidRDefault="00365036">
      <w:pPr>
        <w:pStyle w:val="a3"/>
        <w:divId w:val="1539466442"/>
      </w:pPr>
      <w:r>
        <w:fldChar w:fldCharType="begin"/>
      </w:r>
      <w:r>
        <w:instrText xml:space="preserve"> HYPERLINK "" \l "sdfootnote17anc" </w:instrText>
      </w:r>
      <w:r>
        <w:fldChar w:fldCharType="separate"/>
      </w:r>
      <w:r>
        <w:rPr>
          <w:rStyle w:val="a4"/>
        </w:rPr>
        <w:t>17</w:t>
      </w:r>
      <w:r>
        <w:fldChar w:fldCharType="end"/>
      </w:r>
      <w:bookmarkEnd w:id="35"/>
      <w:r>
        <w:t xml:space="preserve"> «История русской рукописной книги старшего периода не знает, кажется, ни одного примера, чтобы иллюстрации рукописи, исполнялись в процессе её написания и самими писцами». Г.И. Вздорнов «Искусство книги в Древней Руси. Русская рукописная книга Северо-Восточной Руси XII – начала XV веков». Стр. 51.</w:t>
      </w:r>
    </w:p>
    <w:bookmarkStart w:id="36" w:name="sdfootnote18sym"/>
    <w:p w:rsidR="00FE3642" w:rsidRDefault="00365036">
      <w:pPr>
        <w:pStyle w:val="a3"/>
        <w:divId w:val="773014638"/>
      </w:pPr>
      <w:r>
        <w:fldChar w:fldCharType="begin"/>
      </w:r>
      <w:r>
        <w:instrText xml:space="preserve"> HYPERLINK "" \l "sdfootnote18anc" </w:instrText>
      </w:r>
      <w:r>
        <w:fldChar w:fldCharType="separate"/>
      </w:r>
      <w:r>
        <w:rPr>
          <w:rStyle w:val="a4"/>
        </w:rPr>
        <w:t>18</w:t>
      </w:r>
      <w:r>
        <w:fldChar w:fldCharType="end"/>
      </w:r>
      <w:bookmarkEnd w:id="36"/>
      <w:r>
        <w:t xml:space="preserve"> Н.Н. Розов указанное произведение стр. 126.</w:t>
      </w:r>
    </w:p>
    <w:bookmarkStart w:id="37" w:name="sdfootnote19sym"/>
    <w:p w:rsidR="00FE3642" w:rsidRDefault="00365036">
      <w:pPr>
        <w:pStyle w:val="a3"/>
        <w:divId w:val="1317684942"/>
      </w:pPr>
      <w:r>
        <w:fldChar w:fldCharType="begin"/>
      </w:r>
      <w:r>
        <w:instrText xml:space="preserve"> HYPERLINK "" \l "sdfootnote19anc" </w:instrText>
      </w:r>
      <w:r>
        <w:fldChar w:fldCharType="separate"/>
      </w:r>
      <w:r>
        <w:rPr>
          <w:rStyle w:val="a4"/>
        </w:rPr>
        <w:t>19</w:t>
      </w:r>
      <w:r>
        <w:fldChar w:fldCharType="end"/>
      </w:r>
      <w:bookmarkEnd w:id="37"/>
      <w:r>
        <w:t xml:space="preserve"> Например в хронике Георгия Амартола нарисована 127 миниатюр небольшого размера. Их ширина обычно совпадает с шириной столбца текста, а высота колеблется в зависимости от количества фигур и оставленного для рисунка места.</w:t>
      </w:r>
      <w:bookmarkStart w:id="38" w:name="_GoBack"/>
      <w:bookmarkEnd w:id="38"/>
    </w:p>
    <w:sectPr w:rsidR="00FE364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E6EE6"/>
    <w:multiLevelType w:val="multilevel"/>
    <w:tmpl w:val="93664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082865"/>
    <w:multiLevelType w:val="multilevel"/>
    <w:tmpl w:val="E43A36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DA4127"/>
    <w:multiLevelType w:val="multilevel"/>
    <w:tmpl w:val="62C45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6D3E62"/>
    <w:multiLevelType w:val="multilevel"/>
    <w:tmpl w:val="0F06B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09725F"/>
    <w:multiLevelType w:val="multilevel"/>
    <w:tmpl w:val="016A86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1662D31"/>
    <w:multiLevelType w:val="multilevel"/>
    <w:tmpl w:val="C7883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3931C52"/>
    <w:multiLevelType w:val="multilevel"/>
    <w:tmpl w:val="3FECB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7C64C74"/>
    <w:multiLevelType w:val="multilevel"/>
    <w:tmpl w:val="AB4E6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5762A13"/>
    <w:multiLevelType w:val="multilevel"/>
    <w:tmpl w:val="C388B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F847C9E"/>
    <w:multiLevelType w:val="multilevel"/>
    <w:tmpl w:val="4014A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A7C326C"/>
    <w:multiLevelType w:val="multilevel"/>
    <w:tmpl w:val="3022D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D950A41"/>
    <w:multiLevelType w:val="multilevel"/>
    <w:tmpl w:val="0A467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6"/>
  </w:num>
  <w:num w:numId="8">
    <w:abstractNumId w:val="3"/>
  </w:num>
  <w:num w:numId="9">
    <w:abstractNumId w:val="0"/>
  </w:num>
  <w:num w:numId="10">
    <w:abstractNumId w:val="9"/>
  </w:num>
  <w:num w:numId="11">
    <w:abstractNumId w:val="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5036"/>
    <w:rsid w:val="00054C8D"/>
    <w:rsid w:val="00365036"/>
    <w:rsid w:val="00FE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,"/>
  <w:listSeparator w:val=";"/>
  <w15:chartTrackingRefBased/>
  <w15:docId w15:val="{A06FA341-1C0E-4C6D-BA83-A248DAEF2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  <w:style w:type="character" w:styleId="a4">
    <w:name w:val="Hyperlink"/>
    <w:uiPriority w:val="99"/>
    <w:semiHidden/>
    <w:unhideWhenUsed/>
    <w:rPr>
      <w:color w:val="0000FF"/>
      <w:u w:val="single"/>
    </w:rPr>
  </w:style>
  <w:style w:type="character" w:styleId="a5">
    <w:name w:val="FollowedHyperlink"/>
    <w:uiPriority w:val="99"/>
    <w:semiHidden/>
    <w:unhideWhenUsed/>
    <w:rPr>
      <w:color w:val="800080"/>
      <w:u w:val="single"/>
    </w:rPr>
  </w:style>
  <w:style w:type="character" w:customStyle="1" w:styleId="20">
    <w:name w:val="Заголовок 2 Знак"/>
    <w:link w:val="2"/>
    <w:uiPriority w:val="9"/>
    <w:semiHidden/>
    <w:rPr>
      <w:rFonts w:ascii="Calibri Light" w:eastAsia="Times New Roman" w:hAnsi="Calibri Light" w:cs="Times New Roman"/>
      <w:color w:val="2E74B5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1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6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4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1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5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5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4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5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20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0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38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4331</Words>
  <Characters>24690</Characters>
  <Application>Microsoft Office Word</Application>
  <DocSecurity>0</DocSecurity>
  <Lines>205</Lines>
  <Paragraphs>57</Paragraphs>
  <ScaleCrop>false</ScaleCrop>
  <Company/>
  <LinksUpToDate>false</LinksUpToDate>
  <CharactersWithSpaces>28964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Значение текста в художественном образе древнерусской рукописной книги конца XIV – начала XV века</dc:title>
  <dc:subject/>
  <dc:creator>admin</dc:creator>
  <cp:keywords/>
  <dc:description/>
  <cp:lastModifiedBy>admin</cp:lastModifiedBy>
  <cp:revision>2</cp:revision>
  <dcterms:created xsi:type="dcterms:W3CDTF">2014-02-06T22:51:00Z</dcterms:created>
  <dcterms:modified xsi:type="dcterms:W3CDTF">2014-02-06T22:51:00Z</dcterms:modified>
</cp:coreProperties>
</file>