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1CD" w:rsidRDefault="00FA01CD" w:rsidP="00762751">
      <w:pPr>
        <w:jc w:val="center"/>
        <w:rPr>
          <w:rFonts w:ascii="Times New Roman" w:hAnsi="Times New Roman"/>
          <w:b/>
          <w:sz w:val="28"/>
          <w:szCs w:val="28"/>
        </w:rPr>
      </w:pPr>
    </w:p>
    <w:p w:rsidR="00B76920" w:rsidRPr="004279AF" w:rsidRDefault="00B76920" w:rsidP="00762751">
      <w:pPr>
        <w:jc w:val="center"/>
        <w:rPr>
          <w:rFonts w:ascii="Times New Roman" w:hAnsi="Times New Roman"/>
          <w:b/>
          <w:sz w:val="28"/>
          <w:szCs w:val="28"/>
        </w:rPr>
      </w:pPr>
      <w:r w:rsidRPr="004279AF">
        <w:rPr>
          <w:rFonts w:ascii="Times New Roman" w:hAnsi="Times New Roman"/>
          <w:b/>
          <w:sz w:val="28"/>
          <w:szCs w:val="28"/>
        </w:rPr>
        <w:t>№3</w:t>
      </w:r>
      <w:r>
        <w:rPr>
          <w:rFonts w:ascii="Times New Roman" w:hAnsi="Times New Roman"/>
          <w:b/>
          <w:sz w:val="28"/>
          <w:szCs w:val="28"/>
        </w:rPr>
        <w:t>.</w:t>
      </w:r>
      <w:r w:rsidRPr="004279AF">
        <w:rPr>
          <w:rFonts w:ascii="Times New Roman" w:hAnsi="Times New Roman"/>
          <w:b/>
          <w:sz w:val="28"/>
          <w:szCs w:val="28"/>
        </w:rPr>
        <w:t xml:space="preserve"> Основные этапы меркантилизма. Особенности меркантилизма в отдельных странах.</w:t>
      </w:r>
    </w:p>
    <w:p w:rsidR="00B76920" w:rsidRDefault="00B76920" w:rsidP="008E01FE">
      <w:pPr>
        <w:spacing w:after="0" w:line="360" w:lineRule="auto"/>
        <w:ind w:firstLine="709"/>
        <w:jc w:val="both"/>
        <w:rPr>
          <w:rFonts w:ascii="Times New Roman" w:hAnsi="Times New Roman"/>
          <w:sz w:val="28"/>
          <w:szCs w:val="28"/>
        </w:rPr>
      </w:pP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Вытеснение натурально-хозяйственных отношений рыночными экономическими отношениями охватывает исторический отрезок «переходного времени» примерно с XVI по XVIII в. Этот период в экономической литературе называют обычно периодом меркантилизма или меркантилистской системы.</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Понятие «меркантилизм» происходит от слова латинского происхождения mercari (торговать). По-английски и по</w:t>
      </w:r>
      <w:r>
        <w:rPr>
          <w:sz w:val="28"/>
          <w:szCs w:val="28"/>
        </w:rPr>
        <w:t xml:space="preserve">-французски mercantile означает </w:t>
      </w:r>
      <w:r w:rsidRPr="004279AF">
        <w:rPr>
          <w:sz w:val="28"/>
          <w:szCs w:val="28"/>
        </w:rPr>
        <w:t>«торговый», а итальянское mercante означает «торговец» или «купец». Однако меркантилистская система представляет собой гораздо более сложную концепцию.</w:t>
      </w:r>
    </w:p>
    <w:p w:rsidR="00B76920" w:rsidRPr="004279AF" w:rsidRDefault="00B76920" w:rsidP="004279AF">
      <w:pPr>
        <w:pStyle w:val="a4"/>
        <w:spacing w:before="0" w:beforeAutospacing="0" w:after="0" w:afterAutospacing="0" w:line="360" w:lineRule="auto"/>
        <w:ind w:firstLine="709"/>
        <w:jc w:val="both"/>
        <w:rPr>
          <w:sz w:val="28"/>
          <w:szCs w:val="28"/>
        </w:rPr>
      </w:pPr>
      <w:r>
        <w:rPr>
          <w:sz w:val="28"/>
          <w:szCs w:val="28"/>
        </w:rPr>
        <w:t>М</w:t>
      </w:r>
      <w:r w:rsidRPr="004279AF">
        <w:rPr>
          <w:sz w:val="28"/>
          <w:szCs w:val="28"/>
        </w:rPr>
        <w:t>еркантилизм как первая школа экономической мысли периода зарождающихся рыночных экономических отношений имеет целый ряд теоретико-методологических особенностей. Их суть сводится к тому, что меркантилисты: в качестве предмета изучения (экономического анализа) предпочитают рассмотрение проблем сферы обращения, причем в отрыве от проблематики сферы производства; в качестве метода изучения используют в основном эмпиризм, приводящий к описанию на каузальной основе внешних проявлений экономических явлений и исключающий возможность системного анализа всех сфер экономики; возникновение денег считают следствием искусственного изобретения людей, а сами деньги отождествляют с богатством; происхождение стоимости (ценности) ден</w:t>
      </w:r>
      <w:r>
        <w:rPr>
          <w:sz w:val="28"/>
          <w:szCs w:val="28"/>
        </w:rPr>
        <w:t xml:space="preserve">ег трактуют в связи с </w:t>
      </w:r>
      <w:r w:rsidRPr="004279AF">
        <w:rPr>
          <w:sz w:val="28"/>
          <w:szCs w:val="28"/>
        </w:rPr>
        <w:t>«естественной природой» золотых и серебряных денег и их количеством в стране; повышение предложения труда увязывают с необходимостью более низкой, а не высокой заработной платы; экономический рост рассматривают как следствие приумножения денежного богатства страны благодаря государственному регулированию внешней торговли и достижению положительного сальдо торгового баланса и т.д.</w:t>
      </w:r>
    </w:p>
    <w:p w:rsidR="00B76920" w:rsidRDefault="00B76920" w:rsidP="004279AF">
      <w:pPr>
        <w:pStyle w:val="a4"/>
        <w:spacing w:before="0" w:beforeAutospacing="0" w:after="0" w:afterAutospacing="0" w:line="360" w:lineRule="auto"/>
        <w:ind w:firstLine="709"/>
        <w:jc w:val="both"/>
        <w:rPr>
          <w:sz w:val="28"/>
          <w:szCs w:val="28"/>
        </w:rPr>
      </w:pPr>
      <w:r w:rsidRPr="004279AF">
        <w:rPr>
          <w:sz w:val="28"/>
          <w:szCs w:val="28"/>
        </w:rPr>
        <w:t>Вместе с тем эти и другие положения меркантилистской школы в экономической литературе традиционно характеризуют с учетом двух этапов в ее развитии — раннего и позднего. Такое деление на этапы обусловлено различиями в видении ранних и поздних меркантилистов путей достижения активного торгового баланса, о чем и последует речь далее.</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Ранний меркантилизм возник еще до великих географических открытий и был актуален до середины XVI в. Для достижения положительного сальдо во внешней торговле ранние меркантилисты считали целесообразным: устанавливать максимально высокие цены на экспортируемые товары; всемерно ограничивать импорт товаров; не допускать вывоза из страны золота и серебра (с ними отождествлялось денежное богатство).</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Следовательно, теория монетаризма ранних меркантилистов может быть определена как теория «денежного баланса».</w:t>
      </w:r>
    </w:p>
    <w:p w:rsidR="00B76920" w:rsidRPr="004279AF" w:rsidRDefault="00B76920" w:rsidP="004279AF">
      <w:pPr>
        <w:pStyle w:val="a4"/>
        <w:spacing w:before="0" w:beforeAutospacing="0" w:after="0" w:afterAutospacing="0" w:line="360" w:lineRule="auto"/>
        <w:ind w:firstLine="709"/>
        <w:jc w:val="both"/>
        <w:rPr>
          <w:sz w:val="28"/>
          <w:szCs w:val="28"/>
        </w:rPr>
      </w:pPr>
      <w:r>
        <w:rPr>
          <w:sz w:val="28"/>
          <w:szCs w:val="28"/>
        </w:rPr>
        <w:t>Н</w:t>
      </w:r>
      <w:r w:rsidRPr="004279AF">
        <w:rPr>
          <w:sz w:val="28"/>
          <w:szCs w:val="28"/>
        </w:rPr>
        <w:t>оминалисты отрицали не только товарную природу денег, но и их связь с благородными металлами.</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Однако во времена раннего меркантилизма, как и в средние века, правительство занималось порчей национальной монеты, снижая ее ценность и вес в надежде заинтересовать иностранных купцов обменивать их деньги на туземные и покупать больше товаров. Превращение денег в условный знак, фиксированное соотношение находящихся в обращении золотых и серебряных денег (система биметаллизма) оправдывались как фактами обращения неполноценных денег, так и ошибочной констатацией того, что золото и серебро являются деньгами в силу своих природных свойств, выполняя функции меры стоимости, сокровища и мировых денег.</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Поздний меркантилизм охватывает период со второй половины XVI в. по вторую половину XVII в., хотя отдельные его элементы продолжали проявлять себя и в XVIII в. Чтобы достичь активного торгового баланса выдвигались рекомендации: завоевывать внешние рынки благодаря относительно дешевым товарам (т.е. невысоким ценам), а также перепродаже товаров одних стран в других странах; допускать импорт товаров (кроме предметов роскоши) при сохранении в стране активного торгового баланса; вывозить золото и серебро для осуществления выгодных торговых сделок, посредничества, т.е. для увеличения их массы в стране и сохранения активного торгового баланса.</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Поздние меркантилисты сместили акцент в теории монетаризма, противопоставив идее «денежного бала</w:t>
      </w:r>
      <w:r>
        <w:rPr>
          <w:sz w:val="28"/>
          <w:szCs w:val="28"/>
        </w:rPr>
        <w:t xml:space="preserve">нса» ранних меркантилистов идею </w:t>
      </w:r>
      <w:r w:rsidRPr="004279AF">
        <w:rPr>
          <w:sz w:val="28"/>
          <w:szCs w:val="28"/>
        </w:rPr>
        <w:t>«торгового баланса».</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Признавая товарную сущность денег, их ценность поздние меркантилисты по- прежнему усматривали в естественных свойствах золота и серебра. Однако именно они обусловили переход от металлической к количественной теории денег и системе монометаллизма. И если ранние меркантилисты определяющей функцией денег считали функцию накопления, то поздние — функцию средства обращения.</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Меркантилизм в отдельных странах имел свои особенности.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rStyle w:val="a3"/>
          <w:sz w:val="28"/>
          <w:szCs w:val="28"/>
        </w:rPr>
        <w:t>Англия</w:t>
      </w:r>
      <w:r w:rsidRPr="004279AF">
        <w:rPr>
          <w:sz w:val="28"/>
          <w:szCs w:val="28"/>
        </w:rPr>
        <w:t xml:space="preserve">. Наибольшего развития меркантилизм достиг в Англии. Раннюю его стадию представлял </w:t>
      </w:r>
      <w:bookmarkStart w:id="0" w:name="t6"/>
      <w:r w:rsidRPr="004279AF">
        <w:rPr>
          <w:rStyle w:val="a3"/>
          <w:sz w:val="28"/>
          <w:szCs w:val="28"/>
        </w:rPr>
        <w:t>Уильям Стаффорд</w:t>
      </w:r>
      <w:bookmarkEnd w:id="0"/>
      <w:r w:rsidRPr="004279AF">
        <w:rPr>
          <w:sz w:val="28"/>
          <w:szCs w:val="28"/>
        </w:rPr>
        <w:t xml:space="preserve">, автор книги "Критическое изложение некоторых жалоб наших соотечественников" (1581).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Развивая концепцию монетаризма, Стаффорд высказал тревогу по поводу оттока денег за границу. Задачу накопления денежных богатств он предлагал решать в основном административными мерами, требуя от государства запрещения вывоза монет, ввоза предметов роскоши, ограничения импорта ряда других товаров. Стаффорд высказался за расширение переработки английской шерсти, производства сукна.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Зрелый меркантилизм представлен в Англии трудами </w:t>
      </w:r>
      <w:bookmarkStart w:id="1" w:name="t7"/>
      <w:r w:rsidRPr="004279AF">
        <w:rPr>
          <w:rStyle w:val="a3"/>
          <w:sz w:val="28"/>
          <w:szCs w:val="28"/>
        </w:rPr>
        <w:t>Томаса Мена</w:t>
      </w:r>
      <w:bookmarkEnd w:id="1"/>
      <w:r w:rsidRPr="004279AF">
        <w:rPr>
          <w:sz w:val="28"/>
          <w:szCs w:val="28"/>
        </w:rPr>
        <w:t xml:space="preserve"> (1571-1641). Классический представитель мануфактурной системы, Т. Мен являлся вместе с тем крупным коммерсантом своего времени, одним из директоров Ост-Индской компании. Отстаивая интересы компании от нападок противников, критиковавших её за вывоз монет, Т. Мен в 1621 г. выступил с памфлетом "Рассуждение о торговле Англии с Ост-Индией". Концепции монетаристов автор противопоставил теорию торгового баланса. В 1630 г. Т. Мен пишет работу "Богатство Англии во внешней торговле или баланс внешней торговли как регулятор богатства". Т. Мен считал вредной жёсткую регламентацию денежного обращения, выступал за свободный вывоз монет, без которого невозможно нормальное развитие внешней торговли. Главной заботой он считал обеспечение правила: "Продавать иностранцам ежегодно на большую сумму, чем мы покупаем у них". Только с помощью активной внешней торговли, по его мнению, можно привлечь в страну те "единственные деньги, которые у нас остаются и которыми мы обогащаемся". Требуя отмены закона "об истрачивании" монет для иностранцев, Т. Мен исходил из того, что запрет вывоза денег тормозит спрос на английские товары за границей, а избыток денег в стране способствует росту цен.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Благодаря тому что в своём капиталистическом развитии Англия обогнала другие страны мира, программа меркантилистов оказалась здесь наиболее эффективной. Её осуществление способствовало созданию условий для превращения Англии в первую промышленную державу мира.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rStyle w:val="a3"/>
          <w:sz w:val="28"/>
          <w:szCs w:val="28"/>
        </w:rPr>
        <w:t>Франция</w:t>
      </w:r>
      <w:r w:rsidRPr="004279AF">
        <w:rPr>
          <w:sz w:val="28"/>
          <w:szCs w:val="28"/>
        </w:rPr>
        <w:t xml:space="preserve">. Идеи меркантилизма получили большое распространение во Франции в ХVI-ХVII вв. Меркантилизм представлен здесь прежде всего </w:t>
      </w:r>
      <w:bookmarkStart w:id="2" w:name="t8"/>
      <w:r w:rsidRPr="004279AF">
        <w:rPr>
          <w:rStyle w:val="a3"/>
          <w:sz w:val="28"/>
          <w:szCs w:val="28"/>
        </w:rPr>
        <w:t>Антуаном Монкретьеном</w:t>
      </w:r>
      <w:bookmarkEnd w:id="2"/>
      <w:r w:rsidRPr="004279AF">
        <w:rPr>
          <w:sz w:val="28"/>
          <w:szCs w:val="28"/>
        </w:rPr>
        <w:t xml:space="preserve"> (1576-1621), автором знаменитого "Трактата политической экономии" (1615). Наиболее полезным сословием он считал купцов, торговлю характеризовал как главную цель ремёсел. А. Монкретьен искал пути увеличения денежного богатства, которые рекомендовал Людовику XIII. Активное вмешательство государства в экономику рассматривалось в качестве важнейшего фактора накопления, укрепления и развития хозяйства страны. А. Монкретьен советовал развивать мануфактуры, создавать ремесленные школы, повышать качество изделий и расширять торговлю товарами национального производства, вытесняя с французского рынка иностранных купцов, которых он сравнивал с насосом, выкачивающим богатства из страны. Программа А. Монкретьена предусматривала расширение внешнеторговой экспансии Франции. Она отражала частично идеи монетаризма, а также концепцию торгового баланса.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Доктрина меркантилизма настойчиво проводилась в жизнь во второй половине XVII в. в период господства кардинала Ришелье (1624-1642) и деятельности министра финансов Людовика XIV Кольбера (1661-1683). Предпринимались усилия по созданию мануфактурного производства, условий, способствовавших его росту (предоставление ссуд, различных льгот промышленникам и торговцам, привлечение иностранных мастеров и т.д.). Франция строила флот, создавала колониальные компании, развёртывала внешнеторговую деятельность. С помощью меркантилистской политики Кольбер пытался преодолеть социально-экономическое отставание страны, догнать Англию. Осуществление меркантилистской доктрины на первых порах принесло определенные результаты, но одолеть феодальные порядки, расчистить дорогу для капиталистического развития страны без социальной революции было невозможно. К концу XVII в. французский меркантилизм оказался в состоянии глубокого кризиса, являвшегося отражением кризиса феодализма.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Идеи меркантилизма получили распространение и в таких странах, как </w:t>
      </w:r>
      <w:r w:rsidRPr="004279AF">
        <w:rPr>
          <w:rStyle w:val="a3"/>
          <w:sz w:val="28"/>
          <w:szCs w:val="28"/>
        </w:rPr>
        <w:t>Италия, Испания, Германия, Венгрия, Польша, Россия</w:t>
      </w:r>
      <w:r w:rsidRPr="004279AF">
        <w:rPr>
          <w:sz w:val="28"/>
          <w:szCs w:val="28"/>
        </w:rPr>
        <w:t xml:space="preserve"> и др.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Социально-экономическое развитие каждой из них отличалось своими особенностями, которые неизбежно проявлялись в национальных экономических теориях, воплощавших в той или иной мере концепции меркантилизма. Степень зрелости этих теорий определялась тем, насколько в стране был развит капитализм, какое соотношение складывалось между стоявшим у власти дворянством и нарождающейся буржуазией. </w:t>
      </w:r>
    </w:p>
    <w:p w:rsidR="00B76920" w:rsidRDefault="00B76920" w:rsidP="004279AF">
      <w:pPr>
        <w:pStyle w:val="a4"/>
        <w:spacing w:before="0" w:beforeAutospacing="0" w:after="0" w:afterAutospacing="0" w:line="360" w:lineRule="auto"/>
        <w:ind w:firstLine="709"/>
        <w:jc w:val="both"/>
        <w:rPr>
          <w:sz w:val="28"/>
          <w:szCs w:val="28"/>
        </w:rPr>
      </w:pPr>
      <w:r w:rsidRPr="004279AF">
        <w:rPr>
          <w:rStyle w:val="a3"/>
          <w:sz w:val="28"/>
          <w:szCs w:val="28"/>
        </w:rPr>
        <w:t>Испания</w:t>
      </w:r>
      <w:r w:rsidRPr="004279AF">
        <w:rPr>
          <w:sz w:val="28"/>
          <w:szCs w:val="28"/>
        </w:rPr>
        <w:t>. Развитие меркантилизма в Испании задержалось на стадии монетаризма, в соответствии с которым поддерживалась строгая регламентация денежного обращения, жестоко преследовался вывоз золота и серебра за пределы страны.</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 xml:space="preserve">На эволюцию меркантилизма в </w:t>
      </w:r>
      <w:r w:rsidRPr="00816D5E">
        <w:rPr>
          <w:b/>
          <w:sz w:val="28"/>
          <w:szCs w:val="28"/>
        </w:rPr>
        <w:t>Германии</w:t>
      </w:r>
      <w:r w:rsidRPr="004279AF">
        <w:rPr>
          <w:sz w:val="28"/>
          <w:szCs w:val="28"/>
        </w:rPr>
        <w:t xml:space="preserve">, кроме отмеченных выше факторов, наложила отпечаток политическая раздробленность страны. Мероприятия раннего меркантилизма сочетались здесь с экономической политикой, типичной для феодальных княжеств. Но они лишь усугубляли царивший в стране экономический хаос, порождённый раздробленностью.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rStyle w:val="a3"/>
          <w:sz w:val="28"/>
          <w:szCs w:val="28"/>
        </w:rPr>
        <w:t>Италия</w:t>
      </w:r>
      <w:r w:rsidRPr="004279AF">
        <w:rPr>
          <w:sz w:val="28"/>
          <w:szCs w:val="28"/>
        </w:rPr>
        <w:t xml:space="preserve">. В Италии эволюция меркантилизма продвинулась дальше. Ранний период меркантилизма представлен сочинением "Чтение о монете", принадлежавшем перу флорентийца </w:t>
      </w:r>
      <w:bookmarkStart w:id="3" w:name="t10"/>
      <w:r w:rsidRPr="004279AF">
        <w:rPr>
          <w:rStyle w:val="a3"/>
          <w:sz w:val="28"/>
          <w:szCs w:val="28"/>
        </w:rPr>
        <w:t>Е. Даванцати</w:t>
      </w:r>
      <w:r w:rsidRPr="004279AF">
        <w:rPr>
          <w:sz w:val="28"/>
          <w:szCs w:val="28"/>
        </w:rPr>
        <w:t xml:space="preserve"> (1582), а также книгой</w:t>
      </w:r>
      <w:bookmarkEnd w:id="3"/>
      <w:r w:rsidRPr="004279AF">
        <w:rPr>
          <w:sz w:val="28"/>
          <w:szCs w:val="28"/>
        </w:rPr>
        <w:t xml:space="preserve"> </w:t>
      </w:r>
      <w:bookmarkStart w:id="4" w:name="t11"/>
      <w:r w:rsidRPr="004279AF">
        <w:rPr>
          <w:rStyle w:val="a3"/>
          <w:sz w:val="28"/>
          <w:szCs w:val="28"/>
        </w:rPr>
        <w:t>Скаруффи</w:t>
      </w:r>
      <w:r w:rsidRPr="004279AF">
        <w:rPr>
          <w:sz w:val="28"/>
          <w:szCs w:val="28"/>
        </w:rPr>
        <w:t xml:space="preserve"> "Рассуждение о монете" (1579), главное место в которых заняли вопросы денежного обращения и его регламентации. Однако появление "Краткого трактата"</w:t>
      </w:r>
      <w:bookmarkEnd w:id="4"/>
      <w:r w:rsidRPr="004279AF">
        <w:rPr>
          <w:sz w:val="28"/>
          <w:szCs w:val="28"/>
        </w:rPr>
        <w:t xml:space="preserve"> </w:t>
      </w:r>
      <w:bookmarkStart w:id="5" w:name="t12"/>
      <w:r w:rsidRPr="004279AF">
        <w:rPr>
          <w:rStyle w:val="a3"/>
          <w:sz w:val="28"/>
          <w:szCs w:val="28"/>
        </w:rPr>
        <w:t>А. Серра</w:t>
      </w:r>
      <w:r w:rsidRPr="004279AF">
        <w:rPr>
          <w:sz w:val="28"/>
          <w:szCs w:val="28"/>
        </w:rPr>
        <w:t xml:space="preserve"> </w:t>
      </w:r>
      <w:bookmarkEnd w:id="5"/>
      <w:r w:rsidRPr="004279AF">
        <w:rPr>
          <w:sz w:val="28"/>
          <w:szCs w:val="28"/>
        </w:rPr>
        <w:t xml:space="preserve">(1613) ознаменовало стадию зрелого меркантилизма, для которой свойственна теория торгового баланса. А. Серра подверг критике монетаризм. Он ратовал за развитие ремесленного производства, поощрение трудолюбия и изобретательности населения, развитие торговли, проведение благоприятной экономической политики правительства. Меркантилизм не дал существенных практических результатов в силу отсталости социально-экономического развития Италии.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rStyle w:val="a3"/>
          <w:sz w:val="28"/>
          <w:szCs w:val="28"/>
        </w:rPr>
        <w:t>Россия</w:t>
      </w:r>
      <w:r w:rsidRPr="004279AF">
        <w:rPr>
          <w:sz w:val="28"/>
          <w:szCs w:val="28"/>
        </w:rPr>
        <w:t xml:space="preserve">. Наибольшей спецификой меркантилизм отличался в России. Его концепции не определили основного содержания русской экономической мысли, хотя идеи меркантилизма нашли в ней своё отражения в сочинениях </w:t>
      </w:r>
      <w:bookmarkStart w:id="6" w:name="t15"/>
      <w:r w:rsidRPr="004279AF">
        <w:rPr>
          <w:rStyle w:val="a3"/>
          <w:sz w:val="28"/>
          <w:szCs w:val="28"/>
        </w:rPr>
        <w:t xml:space="preserve">А.Л. Ордын-Нащокина, Ю. Крижанича, И.Т. Посошкова </w:t>
      </w:r>
      <w:bookmarkEnd w:id="6"/>
      <w:r w:rsidRPr="004279AF">
        <w:rPr>
          <w:sz w:val="28"/>
          <w:szCs w:val="28"/>
        </w:rPr>
        <w:t xml:space="preserve">и оказали влияние на формирование экономической политики. Однако преимущественно аграрный характер экономики России XVII в. ставил проблемы, не сочетавшиеся с принципами меркантилизма. </w:t>
      </w:r>
    </w:p>
    <w:p w:rsidR="00B76920" w:rsidRPr="004279AF" w:rsidRDefault="00B76920" w:rsidP="004279AF">
      <w:pPr>
        <w:pStyle w:val="a4"/>
        <w:spacing w:before="0" w:beforeAutospacing="0" w:after="0" w:afterAutospacing="0" w:line="360" w:lineRule="auto"/>
        <w:ind w:firstLine="709"/>
        <w:jc w:val="both"/>
        <w:rPr>
          <w:sz w:val="28"/>
          <w:szCs w:val="28"/>
        </w:rPr>
      </w:pPr>
      <w:r w:rsidRPr="004279AF">
        <w:rPr>
          <w:sz w:val="28"/>
          <w:szCs w:val="28"/>
        </w:rPr>
        <w:t>Таким образом, меркантилизм как первая школа экономической теории соответствовала эпохе перво</w:t>
      </w:r>
      <w:r>
        <w:rPr>
          <w:sz w:val="28"/>
          <w:szCs w:val="28"/>
        </w:rPr>
        <w:t xml:space="preserve">начального накопления капитала. </w:t>
      </w:r>
      <w:r w:rsidRPr="004279AF">
        <w:rPr>
          <w:sz w:val="28"/>
          <w:szCs w:val="28"/>
        </w:rPr>
        <w:t xml:space="preserve">Меркантилизм сыграл прогрессивную роль, способствуя переходу к рыночной капиталистической экономике. </w:t>
      </w:r>
      <w:bookmarkStart w:id="7" w:name="_GoBack"/>
      <w:bookmarkEnd w:id="7"/>
    </w:p>
    <w:sectPr w:rsidR="00B76920" w:rsidRPr="004279AF" w:rsidSect="009E0F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885F7A"/>
    <w:multiLevelType w:val="hybridMultilevel"/>
    <w:tmpl w:val="EF8C89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E7E5341"/>
    <w:multiLevelType w:val="hybridMultilevel"/>
    <w:tmpl w:val="A4B0A7F2"/>
    <w:lvl w:ilvl="0" w:tplc="94505E3C">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751"/>
    <w:rsid w:val="004279AF"/>
    <w:rsid w:val="00762751"/>
    <w:rsid w:val="007772C5"/>
    <w:rsid w:val="007A6E15"/>
    <w:rsid w:val="0080663F"/>
    <w:rsid w:val="00816D5E"/>
    <w:rsid w:val="008E01FE"/>
    <w:rsid w:val="009E0FE3"/>
    <w:rsid w:val="00B05560"/>
    <w:rsid w:val="00B76920"/>
    <w:rsid w:val="00C35567"/>
    <w:rsid w:val="00E45885"/>
    <w:rsid w:val="00FA01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E2D3B14-F8F9-4F03-BB2A-9E30AA7EC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FE3"/>
    <w:pPr>
      <w:spacing w:after="200" w:line="276" w:lineRule="auto"/>
    </w:pPr>
    <w:rPr>
      <w:sz w:val="22"/>
      <w:szCs w:val="22"/>
    </w:rPr>
  </w:style>
  <w:style w:type="paragraph" w:styleId="1">
    <w:name w:val="heading 1"/>
    <w:basedOn w:val="a"/>
    <w:link w:val="10"/>
    <w:qFormat/>
    <w:rsid w:val="008E01FE"/>
    <w:pPr>
      <w:spacing w:before="100" w:beforeAutospacing="1" w:after="100" w:afterAutospacing="1" w:line="240" w:lineRule="auto"/>
      <w:outlineLvl w:val="0"/>
    </w:pPr>
    <w:rPr>
      <w:rFonts w:ascii="Times New Roman" w:hAnsi="Times New Roman"/>
      <w:b/>
      <w:bCs/>
      <w:kern w:val="36"/>
      <w:sz w:val="48"/>
      <w:szCs w:val="48"/>
    </w:rPr>
  </w:style>
  <w:style w:type="paragraph" w:styleId="2">
    <w:name w:val="heading 2"/>
    <w:basedOn w:val="a"/>
    <w:next w:val="a"/>
    <w:link w:val="20"/>
    <w:qFormat/>
    <w:rsid w:val="008E01FE"/>
    <w:pPr>
      <w:keepNext/>
      <w:keepLines/>
      <w:spacing w:before="200" w:after="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762751"/>
    <w:rPr>
      <w:rFonts w:cs="Times New Roman"/>
      <w:b/>
      <w:bCs/>
    </w:rPr>
  </w:style>
  <w:style w:type="paragraph" w:customStyle="1" w:styleId="11">
    <w:name w:val="Абзац списку1"/>
    <w:basedOn w:val="a"/>
    <w:rsid w:val="008E01FE"/>
    <w:pPr>
      <w:ind w:left="720"/>
      <w:contextualSpacing/>
    </w:pPr>
  </w:style>
  <w:style w:type="character" w:customStyle="1" w:styleId="10">
    <w:name w:val="Заголовок 1 Знак"/>
    <w:basedOn w:val="a0"/>
    <w:link w:val="1"/>
    <w:locked/>
    <w:rsid w:val="008E01FE"/>
    <w:rPr>
      <w:rFonts w:ascii="Times New Roman" w:hAnsi="Times New Roman" w:cs="Times New Roman"/>
      <w:b/>
      <w:bCs/>
      <w:kern w:val="36"/>
      <w:sz w:val="48"/>
      <w:szCs w:val="48"/>
    </w:rPr>
  </w:style>
  <w:style w:type="character" w:customStyle="1" w:styleId="20">
    <w:name w:val="Заголовок 2 Знак"/>
    <w:basedOn w:val="a0"/>
    <w:link w:val="2"/>
    <w:locked/>
    <w:rsid w:val="008E01FE"/>
    <w:rPr>
      <w:rFonts w:ascii="Cambria" w:hAnsi="Cambria" w:cs="Times New Roman"/>
      <w:b/>
      <w:bCs/>
      <w:color w:val="4F81BD"/>
      <w:sz w:val="26"/>
      <w:szCs w:val="26"/>
    </w:rPr>
  </w:style>
  <w:style w:type="character" w:customStyle="1" w:styleId="spelle">
    <w:name w:val="spelle"/>
    <w:basedOn w:val="a0"/>
    <w:rsid w:val="007772C5"/>
    <w:rPr>
      <w:rFonts w:cs="Times New Roman"/>
    </w:rPr>
  </w:style>
  <w:style w:type="character" w:customStyle="1" w:styleId="grame">
    <w:name w:val="grame"/>
    <w:basedOn w:val="a0"/>
    <w:rsid w:val="007772C5"/>
    <w:rPr>
      <w:rFonts w:cs="Times New Roman"/>
    </w:rPr>
  </w:style>
  <w:style w:type="paragraph" w:styleId="a4">
    <w:name w:val="Normal (Web)"/>
    <w:basedOn w:val="a"/>
    <w:semiHidden/>
    <w:rsid w:val="004279AF"/>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1661</Words>
  <Characters>9471</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№3</vt:lpstr>
    </vt:vector>
  </TitlesOfParts>
  <Company/>
  <LinksUpToDate>false</LinksUpToDate>
  <CharactersWithSpaces>11110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subject/>
  <dc:creator>Губин</dc:creator>
  <cp:keywords/>
  <dc:description/>
  <cp:lastModifiedBy>Irina</cp:lastModifiedBy>
  <cp:revision>2</cp:revision>
  <dcterms:created xsi:type="dcterms:W3CDTF">2014-08-20T13:59:00Z</dcterms:created>
  <dcterms:modified xsi:type="dcterms:W3CDTF">2014-08-20T13:59:00Z</dcterms:modified>
</cp:coreProperties>
</file>