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4E6" w:rsidRDefault="00DF14E6" w:rsidP="008A38D9">
      <w:pPr>
        <w:spacing w:line="360" w:lineRule="auto"/>
        <w:ind w:firstLine="720"/>
        <w:jc w:val="both"/>
        <w:rPr>
          <w:sz w:val="28"/>
          <w:szCs w:val="28"/>
        </w:rPr>
      </w:pPr>
    </w:p>
    <w:p w:rsidR="005D35FA" w:rsidRDefault="008A38D9" w:rsidP="008A38D9">
      <w:pPr>
        <w:spacing w:line="360" w:lineRule="auto"/>
        <w:ind w:firstLine="720"/>
        <w:jc w:val="both"/>
        <w:rPr>
          <w:sz w:val="28"/>
          <w:szCs w:val="28"/>
        </w:rPr>
      </w:pPr>
      <w:r w:rsidRPr="008A38D9">
        <w:rPr>
          <w:sz w:val="28"/>
          <w:szCs w:val="28"/>
        </w:rPr>
        <w:t xml:space="preserve">Весь рынок недвижимости </w:t>
      </w:r>
      <w:r>
        <w:rPr>
          <w:sz w:val="28"/>
          <w:szCs w:val="28"/>
        </w:rPr>
        <w:t>можно условно разделить на рынок земельных участков, рынок жилых помещений, а также рынок коммерческой недвижимости.</w:t>
      </w:r>
    </w:p>
    <w:p w:rsidR="008A38D9" w:rsidRDefault="008A38D9" w:rsidP="008A38D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Рынку недвижимости </w:t>
      </w:r>
      <w:r w:rsidR="00FF652F">
        <w:rPr>
          <w:sz w:val="28"/>
          <w:szCs w:val="28"/>
        </w:rPr>
        <w:t>присущ целый ряд особенностей и, прежде всего это индивидуальность ценообразования.</w:t>
      </w:r>
    </w:p>
    <w:p w:rsidR="00FF652F" w:rsidRDefault="00FF652F" w:rsidP="008A38D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Ценообразование на рынке недвижимости зачастую находится в прямой зависимости от социально-экономического состояния региона. Кроме того, рынок отличается обилием рисков для продавцов, покупателей и арендаторов. В связи с тем, что чаще всего владельцам недвижимости нелегко продать или сдать в аренду свою собственность, рынок недвижимости считается неликвидным.</w:t>
      </w:r>
    </w:p>
    <w:p w:rsidR="00FF652F" w:rsidRDefault="00FF652F" w:rsidP="008A38D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Рынок </w:t>
      </w:r>
      <w:r w:rsidR="009946A3">
        <w:rPr>
          <w:sz w:val="28"/>
          <w:szCs w:val="28"/>
        </w:rPr>
        <w:t>недвижимости представляет собой механизм обслуживающий и регулирующий отношения по купле и продаже, аренде недвижимости на основе спроса и предложения. В современной отечественной практике можно выделить следующий типы рынков недвижимости:</w:t>
      </w:r>
    </w:p>
    <w:p w:rsidR="009946A3" w:rsidRDefault="009946A3" w:rsidP="008A38D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Рынок жилой </w:t>
      </w:r>
      <w:r w:rsidR="006E3DEA">
        <w:rPr>
          <w:sz w:val="28"/>
          <w:szCs w:val="28"/>
        </w:rPr>
        <w:t>недвижимости;</w:t>
      </w:r>
    </w:p>
    <w:p w:rsidR="006E3DEA" w:rsidRDefault="006E3DEA" w:rsidP="008A38D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Рынок коммерческой, или доходной, недвижимости приносящей доход ее владельцу (офисные, торговые помещения);</w:t>
      </w:r>
    </w:p>
    <w:p w:rsidR="006E3DEA" w:rsidRDefault="006E3DEA" w:rsidP="008A38D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Рынок земельных участков, которые в соответствие с законодательно установленным целевым назначением длятся на сельскохозяйственные земли, участки под индивидуальное жилищное строительство, земли, служащие для рекреации и т.д.</w:t>
      </w:r>
    </w:p>
    <w:p w:rsidR="006E3DEA" w:rsidRDefault="006E3DEA" w:rsidP="008A38D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Переход России к рыночной экономике обусловил превращение недвижимости в товар, который может быть объектом купли-продажи, а значит к нему  применимо понятие стоимости (ценности).</w:t>
      </w:r>
    </w:p>
    <w:p w:rsidR="006E3DEA" w:rsidRDefault="006E3DEA" w:rsidP="008A38D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Система цен  на недвижимость имеет специфику. Цена объекта недвижимости представляет собой сумму цен здания и соответствующего земельного участка, на котором здание находится (рис.1).</w:t>
      </w:r>
    </w:p>
    <w:p w:rsidR="006E3DEA" w:rsidRDefault="00331EA0" w:rsidP="008A38D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  <w:pict>
          <v:group id="_x0000_s1026" editas="orgchart" style="width:405.9pt;height:161.75pt;mso-position-horizontal-relative:char;mso-position-vertical-relative:line" coordorigin="1640,5666" coordsize="7200,2880">
            <o:lock v:ext="edit" aspectratio="t"/>
            <o:diagram v:ext="edit" dgmstyle="16" dgmscalex="73892" dgmscaley="73613" dgmfontsize="13" constrainbounds="0,0,0,0" autoformat="t">
              <o:relationtable v:ext="edit">
                <o:rel v:ext="edit" idsrc="#_s1033" iddest="#_s1033"/>
                <o:rel v:ext="edit" idsrc="#_s1034" iddest="#_s1033" idcntr="#_s1032"/>
                <o:rel v:ext="edit" idsrc="#_s1035" iddest="#_s1033" idcntr="#_s1031"/>
                <o:rel v:ext="edit" idsrc="#_s1036" iddest="#_s1034" idcntr="#_s1030"/>
                <o:rel v:ext="edit" idsrc="#_s1037" iddest="#_s1034" idcntr="#_s1029"/>
                <o:rel v:ext="edit" idsrc="#_s1038" iddest="#_s1035" idcntr="#_s1028"/>
              </o:relationtable>
            </o:diagram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640;top:5666;width:7200;height:2880" o:preferrelative="f">
              <v:fill o:detectmouseclick="t"/>
              <v:path o:extrusionok="t" o:connecttype="none"/>
              <o:lock v:ext="edit" text="t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s1028" o:spid="_x0000_s1028" type="#_x0000_t32" style="position:absolute;left:7582;top:7645;width:360;height:1;rotation:270" o:connectortype="elbow" adj="-368964,-1,-368964" strokeweight="2.25pt"/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s1029" o:spid="_x0000_s1029" type="#_x0000_t34" style="position:absolute;left:4431;top:7016;width:360;height:1259;rotation:270;flip:x" o:connectortype="elbow" adj="9624,36903,-217016" strokeweight="2.25pt"/>
            <v:shape id="_s1030" o:spid="_x0000_s1030" type="#_x0000_t34" style="position:absolute;left:3171;top:7015;width:360;height:1261;rotation:270" o:connectortype="elbow" adj="9624,-36877,-65121" strokeweight="2.25pt"/>
            <v:shape id="_s1031" o:spid="_x0000_s1031" type="#_x0000_t34" style="position:absolute;left:6636;top:5621;width:360;height:1890;rotation:270;flip:x" o:connectortype="elbow" adj="9624,12295,-368964" strokeweight="2.25pt"/>
            <v:shape id="_s1032" o:spid="_x0000_s1032" type="#_x0000_t34" style="position:absolute;left:4746;top:5621;width:360;height:1890;rotation:270" o:connectortype="elbow" adj="9624,-12295,-141095" strokeweight="2.25pt"/>
            <v:rect id="_s1033" o:spid="_x0000_s1033" style="position:absolute;left:4790;top:5666;width:2160;height:720;v-text-anchor:middle" o:dgmlayout="0" o:dgmnodekind="1" filled="f">
              <v:textbox inset="0,0,0,0">
                <w:txbxContent>
                  <w:p w:rsidR="006E3DEA" w:rsidRPr="003D3967" w:rsidRDefault="006E3DEA" w:rsidP="006E3DEA">
                    <w:pPr>
                      <w:jc w:val="center"/>
                      <w:rPr>
                        <w:sz w:val="23"/>
                      </w:rPr>
                    </w:pPr>
                    <w:r w:rsidRPr="003D3967">
                      <w:rPr>
                        <w:sz w:val="23"/>
                      </w:rPr>
                      <w:t>Цена объекта недвижимости</w:t>
                    </w:r>
                  </w:p>
                </w:txbxContent>
              </v:textbox>
            </v:rect>
            <v:rect id="_s1034" o:spid="_x0000_s1034" style="position:absolute;left:2900;top:6746;width:2160;height:720;v-text-anchor:middle" o:dgmlayout="0" o:dgmnodekind="0" filled="f">
              <v:textbox inset="0,0,0,0">
                <w:txbxContent>
                  <w:p w:rsidR="006E3DEA" w:rsidRPr="003D3967" w:rsidRDefault="006E3DEA" w:rsidP="006E3DEA">
                    <w:pPr>
                      <w:jc w:val="center"/>
                      <w:rPr>
                        <w:sz w:val="23"/>
                      </w:rPr>
                    </w:pPr>
                    <w:r w:rsidRPr="003D3967">
                      <w:rPr>
                        <w:sz w:val="23"/>
                      </w:rPr>
                      <w:t>Цена земельного участка</w:t>
                    </w:r>
                  </w:p>
                </w:txbxContent>
              </v:textbox>
            </v:rect>
            <v:rect id="_s1035" o:spid="_x0000_s1035" style="position:absolute;left:6680;top:6746;width:2160;height:720;v-text-anchor:middle" o:dgmlayout="0" o:dgmnodekind="0" filled="f">
              <v:textbox inset="0,0,0,0">
                <w:txbxContent>
                  <w:p w:rsidR="006E3DEA" w:rsidRPr="003D3967" w:rsidRDefault="006E3DEA" w:rsidP="006E3DEA">
                    <w:pPr>
                      <w:jc w:val="center"/>
                      <w:rPr>
                        <w:sz w:val="23"/>
                      </w:rPr>
                    </w:pPr>
                    <w:r w:rsidRPr="003D3967">
                      <w:rPr>
                        <w:sz w:val="23"/>
                      </w:rPr>
                      <w:t>Цена здания</w:t>
                    </w:r>
                  </w:p>
                </w:txbxContent>
              </v:textbox>
            </v:rect>
            <v:rect id="_s1036" o:spid="_x0000_s1036" style="position:absolute;left:1640;top:7826;width:2160;height:720;v-text-anchor:middle" o:dgmlayout="2" o:dgmnodekind="0" filled="f">
              <v:textbox inset="0,0,0,0">
                <w:txbxContent>
                  <w:p w:rsidR="006E3DEA" w:rsidRPr="003D3967" w:rsidRDefault="006E3DEA" w:rsidP="006E3DEA">
                    <w:pPr>
                      <w:jc w:val="center"/>
                    </w:pPr>
                    <w:r w:rsidRPr="003D3967">
                      <w:t>Затратная составляющая (плата за землю)</w:t>
                    </w:r>
                  </w:p>
                </w:txbxContent>
              </v:textbox>
            </v:rect>
            <v:rect id="_s1037" o:spid="_x0000_s1037" style="position:absolute;left:4160;top:7826;width:2160;height:720;v-text-anchor:middle" o:dgmlayout="2" o:dgmnodekind="0" filled="f">
              <v:textbox inset="0,0,0,0">
                <w:txbxContent>
                  <w:p w:rsidR="006E3DEA" w:rsidRPr="003D3967" w:rsidRDefault="006E3DEA" w:rsidP="006E3DEA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3D3967">
                      <w:rPr>
                        <w:sz w:val="16"/>
                        <w:szCs w:val="16"/>
                      </w:rPr>
                      <w:t>Рыночная составляющая (спрос и предложение, нормативная цена, кадастровая цена)</w:t>
                    </w:r>
                  </w:p>
                </w:txbxContent>
              </v:textbox>
            </v:rect>
            <v:rect id="_s1038" o:spid="_x0000_s1038" style="position:absolute;left:6680;top:7826;width:2160;height:719;v-text-anchor:middle" o:dgmlayout="2" o:dgmnodekind="0" filled="f">
              <v:textbox inset="0,0,0,0">
                <w:txbxContent>
                  <w:p w:rsidR="006E3DEA" w:rsidRPr="003D3967" w:rsidRDefault="006E3DEA" w:rsidP="006E3DEA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3D3967">
                      <w:rPr>
                        <w:sz w:val="20"/>
                        <w:szCs w:val="20"/>
                      </w:rPr>
                      <w:t>Доходный, сравнительный и затратный подходы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6E3DEA" w:rsidRDefault="006E3DEA" w:rsidP="006E3DEA">
      <w:pPr>
        <w:spacing w:line="360" w:lineRule="auto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Рис.1 Цена объекта недвижимости</w:t>
      </w:r>
    </w:p>
    <w:p w:rsidR="006E3DEA" w:rsidRDefault="006E3DEA" w:rsidP="006E3DEA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Прежде всего, значительное влияние на стоимость объекта недвижимости оказывает цена соответствующего земельного участка. В свою очередь, цена земли зависит от величины платы за землю.</w:t>
      </w:r>
    </w:p>
    <w:p w:rsidR="006E3DEA" w:rsidRDefault="002C0674" w:rsidP="006E3DEA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земли в РФ является платным. Формами платы являются земельный налог, арендная плата, нормативная цена земли.</w:t>
      </w:r>
    </w:p>
    <w:p w:rsidR="002C0674" w:rsidRDefault="002C0674" w:rsidP="006E3DEA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Собственники земли, землевладельцы и землепользователи, кроме арендаторов, облагаются ежегодным земельным налогом.</w:t>
      </w:r>
    </w:p>
    <w:p w:rsidR="002C0674" w:rsidRDefault="002C0674" w:rsidP="006E3DEA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Существенным элементом налога является ставка – размер налога на единицу налогообложения.</w:t>
      </w:r>
    </w:p>
    <w:p w:rsidR="002C0674" w:rsidRDefault="002C0674" w:rsidP="006E3DEA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Сумма земельного налога исчисляется по формуле:</w:t>
      </w:r>
    </w:p>
    <w:p w:rsidR="002C0674" w:rsidRDefault="002C0674" w:rsidP="002C0674">
      <w:pPr>
        <w:spacing w:line="360" w:lineRule="auto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З=П</w:t>
      </w:r>
      <w:r>
        <w:rPr>
          <w:sz w:val="28"/>
          <w:szCs w:val="28"/>
        </w:rPr>
        <w:sym w:font="Symbol" w:char="F0B7"/>
      </w:r>
      <w:r>
        <w:rPr>
          <w:sz w:val="28"/>
          <w:szCs w:val="28"/>
        </w:rPr>
        <w:t>С</w:t>
      </w:r>
      <w:r>
        <w:rPr>
          <w:sz w:val="28"/>
          <w:szCs w:val="28"/>
        </w:rPr>
        <w:sym w:font="Symbol" w:char="F0B7"/>
      </w:r>
      <w:r>
        <w:rPr>
          <w:sz w:val="28"/>
          <w:szCs w:val="28"/>
        </w:rPr>
        <w:t>К,</w:t>
      </w:r>
    </w:p>
    <w:p w:rsidR="002C0674" w:rsidRDefault="002C0674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где П – площадь участка соответствующего назначения;</w:t>
      </w:r>
    </w:p>
    <w:p w:rsidR="002C0674" w:rsidRDefault="002C0674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 – ставка земельного налога по каждой категории земель, имеющихся у владельца;</w:t>
      </w:r>
    </w:p>
    <w:p w:rsidR="002C0674" w:rsidRDefault="002C0674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 – коэффициент корректировки ставки земельного налога.</w:t>
      </w:r>
    </w:p>
    <w:p w:rsidR="002C0674" w:rsidRDefault="007032F8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Ставки земельного налога ежегодно меняются. За земли, переданные в аренду, взимается арендная плата.</w:t>
      </w:r>
    </w:p>
    <w:p w:rsidR="007032F8" w:rsidRDefault="007032F8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покупки и выкупа земельных участков в случаях предусмотренных Земельным кодексом РФ, а</w:t>
      </w:r>
      <w:r w:rsidR="008C6EB4">
        <w:rPr>
          <w:sz w:val="28"/>
          <w:szCs w:val="28"/>
        </w:rPr>
        <w:t xml:space="preserve"> также для получения под залог банковского кредита устанавливается нормативная цена земли.</w:t>
      </w:r>
    </w:p>
    <w:p w:rsidR="008C6EB4" w:rsidRDefault="008C6EB4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определении цены земли решающее значение имеет рыночная составляющая (фактор спроса и предложения). Однако рынок земли РФ находится только на стадии формирования</w:t>
      </w:r>
      <w:r w:rsidR="002F6B2E">
        <w:rPr>
          <w:sz w:val="28"/>
          <w:szCs w:val="28"/>
        </w:rPr>
        <w:t xml:space="preserve"> зачастую информация о сделках с земельными участками отсутствует. Поэтому при определении цены земли следует учитывать также цены на земельные участки, устанавливаемые государством (нормативная цена земли), а также кадастровую оценку.</w:t>
      </w:r>
    </w:p>
    <w:p w:rsidR="002F6B2E" w:rsidRDefault="002F6B2E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Нормативная цена Земельного участка – показатель, характеризующий стои</w:t>
      </w:r>
      <w:r w:rsidR="00962E85">
        <w:rPr>
          <w:sz w:val="28"/>
          <w:szCs w:val="28"/>
        </w:rPr>
        <w:t>мость участка определенного качества и местоположения исходя из потенциального дохода за расчетный срок окупаемости. Это величина расчетная, не связанная с конкретным содержанием земельного правоотношения.</w:t>
      </w:r>
    </w:p>
    <w:p w:rsidR="00962E85" w:rsidRDefault="00962E85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Государственный земельный кадастр – это установленная государством система учета и оценки земель и регистрации прав на землю направленная на регулирование и совершенствование земельных отношений.  Кадастровая цена земли определятся как рыночная цена собственно земельных</w:t>
      </w:r>
      <w:r w:rsidR="003A558B">
        <w:rPr>
          <w:sz w:val="28"/>
          <w:szCs w:val="28"/>
        </w:rPr>
        <w:t xml:space="preserve"> участков, по которым сформировался достаточно интенсивный рынок и наиболее вероятная цена продажи на открытом и конкурентном рынке собственно земельных участков, по которым рынок еще находится в стадии становления.</w:t>
      </w:r>
    </w:p>
    <w:p w:rsidR="003A558B" w:rsidRDefault="003A558B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Другой важной составляющей объекта недвижимости является цена зданий и сооружений. Для оценки зданий и сооружений применимы доходный, сравнительный и затратный подходы.</w:t>
      </w:r>
    </w:p>
    <w:p w:rsidR="003A558B" w:rsidRDefault="003A558B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рамках доходного подхода к оценке обычно используются два основных метода: метод капитализации и метод дисконтирования денежных подходов.</w:t>
      </w:r>
    </w:p>
    <w:p w:rsidR="003A558B" w:rsidRDefault="003A558B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 капитализации доходов используется в том случае, когда доходы, приносимые объектом недвижимости, имеют постоянную величину или не сильно разнятся. Доходы от владения недвижимостью – это в основном текущие и будущие поступления от сдачи ее в аренду, доходы от возможного прироста ценности </w:t>
      </w:r>
      <w:r w:rsidR="000B5BEA">
        <w:rPr>
          <w:sz w:val="28"/>
          <w:szCs w:val="28"/>
        </w:rPr>
        <w:t>при продаже ее в будущем.</w:t>
      </w:r>
    </w:p>
    <w:p w:rsidR="000B5BEA" w:rsidRDefault="000B5BEA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Метод дисконтирования используется для определения рыночной ценности объекта недвижимости в том случае, когда доход, приносимый объектом недвижимости, не имеет</w:t>
      </w:r>
      <w:r w:rsidR="00F678D9">
        <w:rPr>
          <w:sz w:val="28"/>
          <w:szCs w:val="28"/>
        </w:rPr>
        <w:t xml:space="preserve"> постоянной величины. </w:t>
      </w:r>
    </w:p>
    <w:p w:rsidR="00F678D9" w:rsidRDefault="00F678D9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определении  рыночной ценности объекта недвижимости сравнительный подход представлен методом сравнения продаж и методом валового рентного мультипликатора.</w:t>
      </w:r>
    </w:p>
    <w:p w:rsidR="00F678D9" w:rsidRDefault="00F678D9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Основой метода сравнения продаж – сравнение и анализ информации л продаже аналогичных объектов недвижимости. Данный метод объективен  только в случае наличия достаточного количества сопоставимой и достоверной информации по недавно прошедшим сделкам. </w:t>
      </w:r>
    </w:p>
    <w:p w:rsidR="00F678D9" w:rsidRDefault="00F678D9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Валовой рентный мультипликатор представляет собой отношение продажной цены к потенциальному  или к действительному валовому доходу</w:t>
      </w:r>
      <w:r w:rsidR="000B6762">
        <w:rPr>
          <w:sz w:val="28"/>
          <w:szCs w:val="28"/>
        </w:rPr>
        <w:t>.</w:t>
      </w: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использовании затратного подхода ценность объекта недвижимости  определяется по формуле:</w:t>
      </w:r>
    </w:p>
    <w:p w:rsidR="000B6762" w:rsidRDefault="000B6762" w:rsidP="000B6762">
      <w:pPr>
        <w:spacing w:line="36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Ценность объекта = Ценность нового строительства- Сумма износа + Ценность земли + Предпринимательская прибыль.</w:t>
      </w: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962E85" w:rsidRDefault="00962E85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2C0674">
      <w:pPr>
        <w:spacing w:line="360" w:lineRule="auto"/>
        <w:ind w:firstLine="720"/>
        <w:jc w:val="both"/>
        <w:rPr>
          <w:sz w:val="28"/>
          <w:szCs w:val="28"/>
        </w:rPr>
      </w:pPr>
    </w:p>
    <w:p w:rsidR="000B6762" w:rsidRDefault="000B6762" w:rsidP="000B6762">
      <w:pPr>
        <w:spacing w:line="360" w:lineRule="auto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СПИСОК ЛИТЕРАТУРЫ</w:t>
      </w:r>
    </w:p>
    <w:p w:rsidR="00D20578" w:rsidRDefault="00D20578" w:rsidP="00D20578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Ценообразование: учебник/под ред.д-ра экон. наук, проф. В.А. Слепова. – М.: Экономистъ, 2007. – 574с. – (</w:t>
      </w:r>
      <w:r>
        <w:rPr>
          <w:sz w:val="28"/>
          <w:szCs w:val="28"/>
          <w:lang w:val="en-US"/>
        </w:rPr>
        <w:t>Homo</w:t>
      </w:r>
      <w:r w:rsidRPr="0000589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faber</w:t>
      </w:r>
      <w:r w:rsidRPr="00005892">
        <w:rPr>
          <w:sz w:val="28"/>
          <w:szCs w:val="28"/>
        </w:rPr>
        <w:t>)</w:t>
      </w:r>
    </w:p>
    <w:p w:rsidR="00D20578" w:rsidRPr="00DC53B0" w:rsidRDefault="00D20578" w:rsidP="00D20578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Ценообразование: учебник/ И.К. Салимжанов. -2е изд., стер. – М.: КНОРУС, 2008. – 304 с.</w:t>
      </w:r>
    </w:p>
    <w:p w:rsidR="000B6762" w:rsidRPr="008A38D9" w:rsidRDefault="000B6762" w:rsidP="000B6762">
      <w:pPr>
        <w:spacing w:line="360" w:lineRule="auto"/>
        <w:ind w:firstLine="720"/>
        <w:jc w:val="both"/>
        <w:rPr>
          <w:sz w:val="28"/>
          <w:szCs w:val="28"/>
        </w:rPr>
      </w:pPr>
      <w:bookmarkStart w:id="0" w:name="_GoBack"/>
      <w:bookmarkEnd w:id="0"/>
    </w:p>
    <w:sectPr w:rsidR="000B6762" w:rsidRPr="008A38D9" w:rsidSect="008A38D9">
      <w:headerReference w:type="even" r:id="rId7"/>
      <w:headerReference w:type="default" r:id="rId8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5AF3" w:rsidRDefault="00A55AF3">
      <w:r>
        <w:separator/>
      </w:r>
    </w:p>
  </w:endnote>
  <w:endnote w:type="continuationSeparator" w:id="0">
    <w:p w:rsidR="00A55AF3" w:rsidRDefault="00A55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5AF3" w:rsidRDefault="00A55AF3">
      <w:r>
        <w:separator/>
      </w:r>
    </w:p>
  </w:footnote>
  <w:footnote w:type="continuationSeparator" w:id="0">
    <w:p w:rsidR="00A55AF3" w:rsidRDefault="00A55A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167B" w:rsidRDefault="00F2167B" w:rsidP="00F63E6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2167B" w:rsidRDefault="00F2167B" w:rsidP="00F2167B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167B" w:rsidRDefault="00F2167B" w:rsidP="00F63E6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31EA0">
      <w:rPr>
        <w:rStyle w:val="a4"/>
        <w:noProof/>
      </w:rPr>
      <w:t>1</w:t>
    </w:r>
    <w:r>
      <w:rPr>
        <w:rStyle w:val="a4"/>
      </w:rPr>
      <w:fldChar w:fldCharType="end"/>
    </w:r>
  </w:p>
  <w:p w:rsidR="00F2167B" w:rsidRDefault="00F2167B" w:rsidP="00F2167B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F4479C"/>
    <w:multiLevelType w:val="hybridMultilevel"/>
    <w:tmpl w:val="D7905414"/>
    <w:lvl w:ilvl="0" w:tplc="A856597C">
      <w:start w:val="1"/>
      <w:numFmt w:val="decimal"/>
      <w:lvlText w:val="%1."/>
      <w:lvlJc w:val="left"/>
      <w:pPr>
        <w:tabs>
          <w:tab w:val="num" w:pos="216"/>
        </w:tabs>
        <w:ind w:left="0" w:firstLine="216"/>
      </w:pPr>
      <w:rPr>
        <w:rFonts w:ascii="Times New Roman" w:hAnsi="Times New Roman" w:cs="Times New Roman" w:hint="default"/>
        <w:snapToGrid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A38D9"/>
    <w:rsid w:val="000859E2"/>
    <w:rsid w:val="000B5BEA"/>
    <w:rsid w:val="000B6762"/>
    <w:rsid w:val="002C0674"/>
    <w:rsid w:val="002F6B2E"/>
    <w:rsid w:val="00331EA0"/>
    <w:rsid w:val="003A558B"/>
    <w:rsid w:val="005D35FA"/>
    <w:rsid w:val="006E3DEA"/>
    <w:rsid w:val="007032F8"/>
    <w:rsid w:val="008A38D9"/>
    <w:rsid w:val="008C6EB4"/>
    <w:rsid w:val="00962E85"/>
    <w:rsid w:val="009946A3"/>
    <w:rsid w:val="00A55AF3"/>
    <w:rsid w:val="00B36536"/>
    <w:rsid w:val="00C77FD4"/>
    <w:rsid w:val="00D20578"/>
    <w:rsid w:val="00DF14E6"/>
    <w:rsid w:val="00F2167B"/>
    <w:rsid w:val="00F63E66"/>
    <w:rsid w:val="00F678D9"/>
    <w:rsid w:val="00FF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0"/>
    <o:shapelayout v:ext="edit">
      <o:idmap v:ext="edit" data="1"/>
      <o:rules v:ext="edit">
        <o:r id="V:Rule6" type="connector" idref="#_s1032">
          <o:proxy start="" idref="#_s1034" connectloc="0"/>
          <o:proxy end="" idref="#_s1033" connectloc="2"/>
        </o:r>
        <o:r id="V:Rule7" type="connector" idref="#_s1030">
          <o:proxy start="" idref="#_s1036" connectloc="0"/>
          <o:proxy end="" idref="#_s1034" connectloc="2"/>
        </o:r>
        <o:r id="V:Rule8" type="connector" idref="#_s1031">
          <o:proxy start="" idref="#_s1035" connectloc="0"/>
          <o:proxy end="" idref="#_s1033" connectloc="2"/>
        </o:r>
        <o:r id="V:Rule9" type="connector" idref="#_s1029">
          <o:proxy start="" idref="#_s1037" connectloc="0"/>
          <o:proxy end="" idref="#_s1034" connectloc="2"/>
        </o:r>
        <o:r id="V:Rule10" type="connector" idref="#_s1028">
          <o:proxy start="" idref="#_s1038" connectloc="0"/>
          <o:proxy end="" idref="#_s1035" connectloc="2"/>
        </o:r>
      </o:rules>
    </o:shapelayout>
  </w:shapeDefaults>
  <w:decimalSymbol w:val=","/>
  <w:listSeparator w:val=";"/>
  <w15:chartTrackingRefBased/>
  <w15:docId w15:val="{380F82B7-1FFE-43DE-B2A8-78FAC1DBA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2167B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F216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BLACKEDITION</Company>
  <LinksUpToDate>false</LinksUpToDate>
  <CharactersWithSpaces>5628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BLACKEDITION</dc:creator>
  <cp:keywords/>
  <cp:lastModifiedBy>admin</cp:lastModifiedBy>
  <cp:revision>2</cp:revision>
  <dcterms:created xsi:type="dcterms:W3CDTF">2014-04-02T10:40:00Z</dcterms:created>
  <dcterms:modified xsi:type="dcterms:W3CDTF">2014-04-02T10:40:00Z</dcterms:modified>
</cp:coreProperties>
</file>