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0151" w:rsidRPr="00B6293B" w:rsidRDefault="0015621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color w:val="000000"/>
          <w:sz w:val="28"/>
          <w:szCs w:val="30"/>
        </w:rPr>
      </w:pPr>
      <w:r w:rsidRPr="00B6293B">
        <w:rPr>
          <w:b/>
          <w:color w:val="000000"/>
          <w:sz w:val="28"/>
          <w:szCs w:val="30"/>
        </w:rPr>
        <w:t>Введение</w:t>
      </w:r>
    </w:p>
    <w:p w:rsidR="007A2C11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</w:p>
    <w:p w:rsidR="00A73C18" w:rsidRPr="00B6293B" w:rsidRDefault="00A73C18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В управлении региональными системами всех уровней в последнее время наметилась тенденция использовать методы и инструменты стратегического планирования. Составляемые для этих целей документы содержат, как правило, анализ социально-экономического положения соответствующего региона, набор целей и задач, которые указывают на основные направления ее развития, и примерные объемы финансирования.</w:t>
      </w:r>
    </w:p>
    <w:p w:rsidR="00A73C18" w:rsidRPr="00B6293B" w:rsidRDefault="00A73C18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Однако отсутствие достаточного опыта стратегического планирования развития регионов и отказ от методик, разработанных в советское время, приводят к снижению качества создаваемых программ, а анализ состояния региона основывается на подсчете наиболее простых статистических показателей, в связи с чем сформулированные на его основе цели не учитывают особенностей конкретного региона и его составляющих и часто не отвечают требованию количественного измерения. Поэтому можно говорить, что более продуктивен следующий подход: регион, превышающий масштаб одного населенного пункта, должен рассматриваться как система, каждая часть которой обладает собственным потенциалом. Для анализа состояния такой системы необходимо применять более мощный математико-статистический аппарат, чем относительные величины, используемые на данном этапе.</w:t>
      </w:r>
    </w:p>
    <w:p w:rsidR="00156210" w:rsidRPr="00B6293B" w:rsidRDefault="0015621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</w:p>
    <w:p w:rsidR="007A2C11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</w:p>
    <w:p w:rsidR="00124600" w:rsidRPr="00B6293B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>
        <w:rPr>
          <w:b/>
          <w:bCs/>
          <w:color w:val="000000"/>
          <w:sz w:val="28"/>
          <w:szCs w:val="30"/>
        </w:rPr>
        <w:br w:type="page"/>
      </w:r>
      <w:r w:rsidR="00124600" w:rsidRPr="00B6293B">
        <w:rPr>
          <w:b/>
          <w:bCs/>
          <w:color w:val="000000"/>
          <w:sz w:val="28"/>
          <w:szCs w:val="30"/>
        </w:rPr>
        <w:t>Управление энергетической системой</w:t>
      </w:r>
      <w:r w:rsidR="00A73C18" w:rsidRPr="00B6293B">
        <w:rPr>
          <w:b/>
          <w:bCs/>
          <w:color w:val="000000"/>
          <w:sz w:val="28"/>
          <w:szCs w:val="30"/>
        </w:rPr>
        <w:t xml:space="preserve"> регионов</w:t>
      </w:r>
      <w:r w:rsidR="00124600" w:rsidRPr="00B6293B">
        <w:rPr>
          <w:b/>
          <w:bCs/>
          <w:color w:val="000000"/>
          <w:sz w:val="28"/>
          <w:szCs w:val="30"/>
        </w:rPr>
        <w:t xml:space="preserve"> в современной России</w:t>
      </w:r>
    </w:p>
    <w:p w:rsidR="007A2C11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Энергетическая система страны играет важную роль в экономике любой страны, оказывая значительное влияние на ее функционирование и развитие. Она определяет жизнедеятельность всех отраслей народного хозяйства и определяет основные финансово-экономические показатели страны. Россия обладает значительным объемом энергоресурсов и мощным топливно-энергетическим комплексом, поэтому энергетическая отрасль играет особую роль в функционировании и развитии народного хозяйства нашей страны. Уровень развития энергетической системы страны во многом зависит от выбранных методов и механизмов управления.</w:t>
      </w:r>
    </w:p>
    <w:p w:rsidR="00A73C18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Целью управления энергетической системой страны является обеспечение условий для реализации ее первоочередной задачи – обеспечение населения и экономики страны надежным и качественным энергоснабжением.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Надежность энергоснабжения «характеризуется бесперебойностью обеспечения платежеспособного потребителя энергией заданного качества в заданном объеме на определенном интервале времени». Качество энергии определяется, как «совокупность ее параметров (свойств), определяющих способность электро- или теплоэнергии удовлетворить потребности различных энергоприемников в</w:t>
      </w:r>
      <w:r w:rsidR="00270151" w:rsidRPr="00B6293B">
        <w:rPr>
          <w:color w:val="000000"/>
          <w:sz w:val="28"/>
          <w:szCs w:val="30"/>
        </w:rPr>
        <w:t xml:space="preserve"> соответствии с их назначением»</w:t>
      </w:r>
      <w:r w:rsidRPr="00B6293B">
        <w:rPr>
          <w:color w:val="000000"/>
          <w:sz w:val="28"/>
          <w:szCs w:val="30"/>
        </w:rPr>
        <w:t>. Показатели качеств энергии определятся ГОСТом.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Анализ состояния топливно-энергетического комплекса (ТЭК) позволил выделить следующие факторы, сдерживающее развитие энергетической отрасли России: технологическая база ТЭК не отвечает требованиям времени, что вызвано высокой степенью износа энергетических активов страны (более 5</w:t>
      </w:r>
      <w:r w:rsidR="00B6293B" w:rsidRPr="00B6293B">
        <w:rPr>
          <w:color w:val="000000"/>
          <w:sz w:val="28"/>
          <w:szCs w:val="30"/>
        </w:rPr>
        <w:t>0</w:t>
      </w:r>
      <w:r w:rsidR="00B6293B">
        <w:rPr>
          <w:color w:val="000000"/>
          <w:sz w:val="28"/>
          <w:szCs w:val="30"/>
        </w:rPr>
        <w:t>%</w:t>
      </w:r>
      <w:r w:rsidRPr="00B6293B">
        <w:rPr>
          <w:color w:val="000000"/>
          <w:sz w:val="28"/>
          <w:szCs w:val="30"/>
        </w:rPr>
        <w:t>), а также сокращением ввода в действие новых производс</w:t>
      </w:r>
      <w:r w:rsidR="00270151" w:rsidRPr="00B6293B">
        <w:rPr>
          <w:color w:val="000000"/>
          <w:sz w:val="28"/>
          <w:szCs w:val="30"/>
        </w:rPr>
        <w:t>твенных мощностей от 2 до 6 раз</w:t>
      </w:r>
      <w:r w:rsidRPr="00B6293B">
        <w:rPr>
          <w:color w:val="000000"/>
          <w:sz w:val="28"/>
          <w:szCs w:val="30"/>
        </w:rPr>
        <w:t>; сохраняется сильный перекос в структуре генерации в сторону природного газа, ставший результатом проводимой политики заниженных цен на газ и электроэнергетику; сохраняется дефицит инвестиционных ресурсов в отрасли комплекса, прежде всего газовую и электроэнергетическую; перекрестное субсидирование, вызванное заниженными тарифами на электро- и теплоэнергию для населения и бюджетных организаций и повышенными – для промышленных предприятий; недостаточное используются альтернативные источников энергии; высоко отрицательное влияние ТЭК на окружающую среду. Перечисленные диспропорции ТЭК страны также усугубляется, во-первых, из-за значительного роста электропотребления в стране, а во-вторых, из-за высокой энергоемкости ВВП России, превышающей среднемировой уровень на 1</w:t>
      </w:r>
      <w:r w:rsidR="00B6293B" w:rsidRPr="00B6293B">
        <w:rPr>
          <w:color w:val="000000"/>
          <w:sz w:val="28"/>
          <w:szCs w:val="30"/>
        </w:rPr>
        <w:t>5</w:t>
      </w:r>
      <w:r w:rsidR="00B6293B">
        <w:rPr>
          <w:color w:val="000000"/>
          <w:sz w:val="28"/>
          <w:szCs w:val="30"/>
        </w:rPr>
        <w:t>%</w:t>
      </w:r>
      <w:r w:rsidRPr="00B6293B">
        <w:rPr>
          <w:color w:val="000000"/>
          <w:sz w:val="28"/>
          <w:szCs w:val="30"/>
        </w:rPr>
        <w:t xml:space="preserve"> и в 1,5</w:t>
      </w:r>
      <w:r w:rsidR="00B6293B">
        <w:rPr>
          <w:color w:val="000000"/>
          <w:sz w:val="28"/>
          <w:szCs w:val="30"/>
        </w:rPr>
        <w:t>–</w:t>
      </w:r>
      <w:r w:rsidR="00B6293B" w:rsidRPr="00B6293B">
        <w:rPr>
          <w:color w:val="000000"/>
          <w:sz w:val="28"/>
          <w:szCs w:val="30"/>
        </w:rPr>
        <w:t>1</w:t>
      </w:r>
      <w:r w:rsidRPr="00B6293B">
        <w:rPr>
          <w:color w:val="000000"/>
          <w:sz w:val="28"/>
          <w:szCs w:val="30"/>
        </w:rPr>
        <w:t>,8 раз уровень развитых стран.</w:t>
      </w:r>
    </w:p>
    <w:p w:rsidR="00A73C18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Выявленные проблемы ТЭК России показывают, что энергетическая система страны не реализовывает в полной мере задачу надежного и качественного энергообеспечения. Необходимость выполнения данной задачи легло в основу определения стратегических направлений развития энергосистемы страны, среди которых выделяют энергетическую эффективность, энергетическую безопасность, бюджетную эффективность энергетики и экологическую эффективность.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Прежние методы управления и форма организации деятельности энергетической системы продемонстрировали свою неэффективность в современных условиях существенного роста энергопотребления. Решение указанных проблем и развитие энергетической системы России в рамках указанных направлений возможно только при организации новой, отличной от прежней, системы управления.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Необходимость повысить эффективность функционирования энергетической системы стала причиной реструктуризации электроэнергетической отрасли, начавшейся в конце 90</w:t>
      </w:r>
      <w:r w:rsidR="00B6293B">
        <w:rPr>
          <w:color w:val="000000"/>
          <w:sz w:val="28"/>
          <w:szCs w:val="30"/>
        </w:rPr>
        <w:t>-</w:t>
      </w:r>
      <w:r w:rsidR="00B6293B" w:rsidRPr="00B6293B">
        <w:rPr>
          <w:color w:val="000000"/>
          <w:sz w:val="28"/>
          <w:szCs w:val="30"/>
        </w:rPr>
        <w:t>ы</w:t>
      </w:r>
      <w:r w:rsidRPr="00B6293B">
        <w:rPr>
          <w:color w:val="000000"/>
          <w:sz w:val="28"/>
          <w:szCs w:val="30"/>
        </w:rPr>
        <w:t>х годов XX века. В электроэнергетической отрасли России создаются новые компании, и формируется конкурентный рынок электроэнергии. В ходе реформы осуществлялось разделение естественно</w:t>
      </w:r>
      <w:r w:rsidR="007A2C11">
        <w:rPr>
          <w:color w:val="000000"/>
          <w:sz w:val="28"/>
          <w:szCs w:val="30"/>
        </w:rPr>
        <w:t>-</w:t>
      </w:r>
      <w:r w:rsidRPr="00B6293B">
        <w:rPr>
          <w:color w:val="000000"/>
          <w:sz w:val="28"/>
          <w:szCs w:val="30"/>
        </w:rPr>
        <w:t>монопольных (передача электроэнергии, оперативно-диспетчерское управление) и потенциально конкурентных (производство и сбыт электроэнергии, ремонт и сервис) функций, и вместо прежних вертикально-интегрированных компаний, выполнявших все эти функции, сформированы структуры, специализирующиеся на отдельных видах деятельности.</w:t>
      </w:r>
    </w:p>
    <w:p w:rsidR="00A73C18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Существует объективная потребность в государственном управлении энергетической системой страны, в связи с тем, что энергетический рынок находится на стадии своего становления, и поэтому не может в полной мере решать стоящие перед ним задачи.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Государственное управление энергетическим рынком осуществляется по следующим направлениям: стимулирование и регулирование инвестиционной деятельности, регулирование тарифов (цен) на отдельные виды продукции, антимонопольное регулирование, управление государственной собственностью, лицензирование отдельных видов деятельности в энергетической отрасли.</w:t>
      </w:r>
    </w:p>
    <w:p w:rsidR="00A73C18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Чтобы обеспечить население и экономику страны надежным и качественны энергоснабжением, организация управления энергетической системой в современной России требует сочетания механизмов как рыночного, так и государственного управления. Актуальность государственного управления будет сохраняться и после того, когда целевая модель энергетического рынка будет полностью реализована.</w:t>
      </w:r>
    </w:p>
    <w:p w:rsidR="00A73C18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Задачами государственного управления останутся стимулирования научно-технологических разработок, прежде всего, в сфере энергосбережения и использования возобновляемых источников энергии (на ближайшую перспективу), создание благоприятных условий для инвестирования в объекты энергетического рынка, формирование развитой и стабильной законодательной базы, отвечающей требованиям времени. По мнению автора, акцент государственного управления энергетической системой в дальнейшем сместиться с тарифной и инвестиционной политики на антимонопольную и налоговую.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Установление цен на топливные ресурсы и энергопродукцию должно происходить на основе рыночных законов, под воздействием спроса и предложения. Важно, чтобы государство не оказывало влияния на процесс формирования цен: только при конкурентных ценах может быть окончательно решены проблема диспропорции в топливно-энергетическом балансе, угрожающая энергетической безопасности страны, и перекрестного субсидирования, являющаяся тормозом в развитии промышленных предприятий, а значит и всей экономики России в целом.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b/>
          <w:bCs/>
          <w:color w:val="000000"/>
          <w:sz w:val="28"/>
          <w:szCs w:val="30"/>
        </w:rPr>
        <w:t xml:space="preserve">Применение частно-государственных механизмов в развитии глобальной навигационной спутниковой системы ГЛОНАСС </w:t>
      </w:r>
      <w:r w:rsidR="00A73C18" w:rsidRPr="00B6293B">
        <w:rPr>
          <w:b/>
          <w:bCs/>
          <w:color w:val="000000"/>
          <w:sz w:val="28"/>
          <w:szCs w:val="30"/>
        </w:rPr>
        <w:t>на региональном уровне</w:t>
      </w:r>
    </w:p>
    <w:p w:rsidR="007A2C11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Единая система координатно-временного и навигационного обеспечения (КВНО), основой которой является глобальная навигационная спутниковая система (ГНСС) ГЛОНАСС, относится к государственной инфраструктуре стратегического значения, обеспечивающей национальную безопасность и экономическое развитие России. Создание и развитие ГНСС требует значительных капиталовложений для государства-провайдера. В современном мире для преодоления ограниченности государственных ресурсов используются различные формы частно-государственного партнёрства (ЧГП). Под ЧГП мы будем понимать организационный альянс между государством и частным сектором в целях реализации общественно значимых проектов в различных сферах деятельности: от базовых отраслей промышленности и НИОКР до оказания общественных услуг.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В настоящее время актуален вопрос возможностей применения механизмов ЧГП в космической отрасли, в особенности – в развитии и коммерциализации системы ГЛОНАСС. В мировой практике уже существуют примеры успешного взаимодействия государства и бизнеса в космической сфере: в Германии, Франции и Израиле программы дистанционного зондирования земли (ДЗЗ) развиваются на основе ЧГП. К сожалению, данный опыт неприменим к спутниковой навигации, так как сигнал ГЛОНАСС (как и GPS) является бесплатным и открытым, в отличие от данных ДЗЗ.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Проблемы восстановления и модернизации средств КВНО и, в частности, системы ГЛОНАСС, предоставляющих потребителю исходную координатно-временную и навигационную информацию (сигнал, геопространственные данные и др.), относятся к компетенции государства. Попытки привлечь частный сектор к участию в проекте создания европейской системы Galileo на стадии формирования орбитальной группировки завершились неудачей. Применение механизмов ЧГП целесообразно именно в процессе развития ГЛОНАСС, а не на стадии формирования системы, задачу развёртывания которой должно, или даже вынуждено решать государство.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Использование механизмов партнёрства государства и частного сектора возможно при решении проблем внедрения новых технологий КВНО на потребительском уровне, коммерциализации ГЛОНАСС. В широком смысле, коммерциализация ГЛОНАСС есть доведение до массового рынка услуг КВНО на платной основе, а ЧГП – это лишь один из форматов осуществления коммерциализации. В частности, один из ключевых сегментов программы коммерциализации, производство навигационной аппаратуры потребителей (НАП), не требует участия государства, и мировой опыт показывает, что коммерческий сектор при наличии экономической целесообразности и необходимых инфраструктурных предпосылок справляется с данной задачей самостоятельно, формируя конкурентный рынок НАП.</w:t>
      </w:r>
    </w:p>
    <w:p w:rsidR="00A73C18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По нашему мнению, сферой приложения совместных усилий в рамках проектов ЧГП является разработка и реализация новых научно-технических решений и подходов к созданию функциональных систем управления и мониторинга в различных сферах человеческой деятельности (воздушный, водный транспорт, пассажирские и контейнерные перевозки, перевозки опасных грузов).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Предлагаемыми перспективными направлениями для взаимодействия государства и частного сектора являются создание систем мониторинга автотранспорта на основе сигналов ГЛОНАСС для компаний-перевозчиков ценных или опасных грузов, автоматизированных систем мониторинга и управления для железных дорог. В данном случае может быть задействована кооперационная модель ЧГП, с созданием совместной организации, координирующей реализацию отдельных инвестиционных проектов коммерциализации ГЛОНАСС.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 xml:space="preserve">НИОКР, направленные на развитие услуг КВНО, являются ресурсо- и наукоёмкими, а, с точки зрения инвестора, характеризуются высокими рисками. Риски связаны в том числе с тем, что орбитальная группировка ГЛОНАСС будет сформирована лишь в 2009 году. Отсутствие действующей системы требует от государства принятия обязательств и предоставления дополнительных гарантий частному сектору. Важно обеспечить стимулы для взаимодействия бизнеса с государством. Одним из таких стимулов является предписание установить на ряде объектов аппаратуру ГЛОНАСС. Даже если ГЛОНАСС не выдержит конкуренции с GPS на массовом рынке, устойчивый спрос будет обеспечен за счёт регулируемого рынка, участникам которого адресовано Постановление Правительства РФ </w:t>
      </w:r>
      <w:r w:rsidR="00B6293B">
        <w:rPr>
          <w:color w:val="000000"/>
          <w:sz w:val="28"/>
          <w:szCs w:val="30"/>
        </w:rPr>
        <w:t>№</w:t>
      </w:r>
      <w:r w:rsidR="00B6293B" w:rsidRPr="00B6293B">
        <w:rPr>
          <w:color w:val="000000"/>
          <w:sz w:val="28"/>
          <w:szCs w:val="30"/>
        </w:rPr>
        <w:t>3</w:t>
      </w:r>
      <w:r w:rsidRPr="00B6293B">
        <w:rPr>
          <w:color w:val="000000"/>
          <w:sz w:val="28"/>
          <w:szCs w:val="30"/>
        </w:rPr>
        <w:t>65. Поэтому сотрудничество с частным сектором для удовлетворения потребностей в услугах КВНО разумно начать именно с регулируемого сегмента, в котором риски относительно невелики за счёт гарантированного рынка сбыта. С другой стороны, постепенное снижение стоимости совмещённых ГЛОНАСС/GPS терминалов могло бы в будущем привести к формированию сильных игроков для массового рынка.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Дополнительными стимулами являются госинвестиции в разработку программного обеспечения, производство картографической продукции. Кроме того, предлагается использование таких инструментов ЧГП, как венчурные фонды финансирования развития ГЛОНАСС. Необходимо продумать формы поддержки и стимулирования частного сектора – налоговые льготы, льготное кредитование участников и субподрядчиков по проектам коммерциализации ГЛОНАСС.</w:t>
      </w:r>
    </w:p>
    <w:p w:rsidR="00124600" w:rsidRPr="00B6293B" w:rsidRDefault="0012460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Итак, в развитии системы ГЛОНАСС целесообразно применять модель кооперации, сочетая её с заказом государства на создание автоматизированных диспетчерских систем мониторинга и управления для использования на транспорте и в перевозках. Гарантированный рынок сбыта на первых этапах позволит снизить риски для частного сектора, а государству – привлечь дополнительное финансирование и обеспечить доведение НИОКР до конечного продукта. При этом необходимо понимать, что государство должно отвечать за формирование и модернизацию системы ГЛОНАСС, обеспечивать разработку нормативно-правовой базы, способствующей её коммерциализации. Разработка совместных частно-государственных инвестиционных проектов и их реализация являются заключительным этапом, успех которого напрямую зависит от надёжности фундамента.</w:t>
      </w:r>
    </w:p>
    <w:p w:rsidR="00270151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</w:p>
    <w:p w:rsidR="00270151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b/>
          <w:bCs/>
          <w:color w:val="000000"/>
          <w:sz w:val="28"/>
          <w:szCs w:val="30"/>
        </w:rPr>
        <w:t>Управление экологическими проектами в сфере землепользования</w:t>
      </w:r>
    </w:p>
    <w:p w:rsidR="007A2C11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</w:p>
    <w:p w:rsidR="00A73C18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 xml:space="preserve">Разработка подходов к эффективному управлению экологическими проектами в сфере землепользования является одной из актуальных задач современного рационального природопользования. Применение технологии управления экологическими проектами в сфере землепользования </w:t>
      </w:r>
      <w:r w:rsidR="00B6293B">
        <w:rPr>
          <w:color w:val="000000"/>
          <w:sz w:val="28"/>
          <w:szCs w:val="30"/>
        </w:rPr>
        <w:t>–</w:t>
      </w:r>
      <w:r w:rsidR="00B6293B" w:rsidRPr="00B6293B">
        <w:rPr>
          <w:color w:val="000000"/>
          <w:sz w:val="28"/>
          <w:szCs w:val="30"/>
        </w:rPr>
        <w:t xml:space="preserve"> </w:t>
      </w:r>
      <w:r w:rsidRPr="00B6293B">
        <w:rPr>
          <w:color w:val="000000"/>
          <w:sz w:val="28"/>
          <w:szCs w:val="30"/>
        </w:rPr>
        <w:t>первый шаг на пути к эффективному управлению эколого-экономическими системами, достижению рационального природопользования, обеспечению экологической безопасности и улучшению качества земельных ресурсов.</w:t>
      </w:r>
    </w:p>
    <w:p w:rsidR="00270151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Множество проектов, реализуемых в результате хозяйственной и иных видов деятельности, неразрывно связаны с использованием в различных целях земельных ресурсов. При реализации таких проектов основным критерием их эффективности является экономическая целесообразность, а социально-экологическая имеет второстепенное значение и финансируется по остаточному принципу.</w:t>
      </w:r>
    </w:p>
    <w:p w:rsidR="00A73C18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В ходе работы были изучены современные информационные технологии анализа систем управления землепользованием, с помощью метода многокритериальной оценки на базе теории ориентированных графов построена концептуальная метамодель системы управления землепользованием и выявлено влияние факторов, определяющих эффективность землепользования, на уровень экологической безопасности осуществляемой деятельности.</w:t>
      </w:r>
    </w:p>
    <w:p w:rsidR="00270151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В работе было применено экспертное моделирование для определения весовых коэффициентов компонентов вышеуказанной метамодели системы землепользования. В экспертную группу входили специалисты, имеющие профильное образование и ученую степень в области экологии и экономики природопользования. Разработана методика оптимизации управления экологическими проектами в сфере землепользования основанная на методах динамического программирования.</w:t>
      </w:r>
    </w:p>
    <w:p w:rsidR="00270151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Применение метода многокритериальной оценки системы землепользования РФ на базе теории ориентированных графов позволило рассмотреть земельные отношения как многокомпонентную систему, состоящую из 7 элементов, содержащих 26 факторов. Проведенные исследования показали, высокую степень адекватности разработанной модели и достоверность прогноза поведения реальной системы землепользования. Анализ экологических, экономических, социальных, информационных и других элементов системы позволил увеличить число альтернатив выбора управляющих вершин для достижения поставленных целей. В ходе исследований особое внимание уделялось уровню профессиональной подготовки членов экспертной группы и участников проекта. Установлено, что основными управляющими критериями в системе земельных отношений должны быть социальный, юридический и информационный элементы, способствующие формированию рационального и безопасного использования земельных ресурсов.</w:t>
      </w:r>
    </w:p>
    <w:p w:rsidR="00270151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</w:p>
    <w:p w:rsidR="00156210" w:rsidRPr="00B6293B" w:rsidRDefault="0015621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b/>
          <w:bCs/>
          <w:color w:val="000000"/>
          <w:sz w:val="28"/>
          <w:szCs w:val="30"/>
        </w:rPr>
        <w:t>Применение кластерного анализа для определения приоритетных направлений комплексного развития региона</w:t>
      </w:r>
    </w:p>
    <w:p w:rsidR="007A2C11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</w:p>
    <w:p w:rsidR="00156210" w:rsidRPr="00B6293B" w:rsidRDefault="0015621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Одним из наиболее действенных инструментов подобного анализа является кластерный анализ. Его основное достоинство заключается в том, что он позволяет объединять объекты в однородные по нескольким показателям группы (кластеры). Алгоритм его применения состоит из следующих шагов:</w:t>
      </w:r>
    </w:p>
    <w:p w:rsidR="00156210" w:rsidRPr="00B6293B" w:rsidRDefault="00156210" w:rsidP="00B6293B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 xml:space="preserve">Формирование матрицы «объект </w:t>
      </w:r>
      <w:r w:rsidR="00B6293B">
        <w:rPr>
          <w:color w:val="000000"/>
          <w:sz w:val="28"/>
          <w:szCs w:val="30"/>
        </w:rPr>
        <w:t>–</w:t>
      </w:r>
      <w:r w:rsidR="00B6293B" w:rsidRPr="00B6293B">
        <w:rPr>
          <w:color w:val="000000"/>
          <w:sz w:val="28"/>
          <w:szCs w:val="30"/>
        </w:rPr>
        <w:t xml:space="preserve"> </w:t>
      </w:r>
      <w:r w:rsidRPr="00B6293B">
        <w:rPr>
          <w:color w:val="000000"/>
          <w:sz w:val="28"/>
          <w:szCs w:val="30"/>
        </w:rPr>
        <w:t xml:space="preserve">признак», где в качестве объектов могут выступать регионы, города </w:t>
      </w:r>
      <w:r w:rsidR="00B6293B">
        <w:rPr>
          <w:color w:val="000000"/>
          <w:sz w:val="28"/>
          <w:szCs w:val="30"/>
        </w:rPr>
        <w:t>и т.д.</w:t>
      </w:r>
      <w:r w:rsidRPr="00B6293B">
        <w:rPr>
          <w:color w:val="000000"/>
          <w:sz w:val="28"/>
          <w:szCs w:val="30"/>
        </w:rPr>
        <w:t>, а признаками являются значимые социально-экономические характеристики.</w:t>
      </w:r>
    </w:p>
    <w:p w:rsidR="00156210" w:rsidRPr="00B6293B" w:rsidRDefault="00156210" w:rsidP="00B6293B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Выбор меры сходства или меры расстояния, на основе которой будет строиться классификация.</w:t>
      </w:r>
    </w:p>
    <w:p w:rsidR="00156210" w:rsidRPr="00B6293B" w:rsidRDefault="00156210" w:rsidP="00B6293B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Определение связи между объектами на основе построения матрицы сходства или расстояний, симметричной исходной матрице.</w:t>
      </w:r>
    </w:p>
    <w:p w:rsidR="00156210" w:rsidRPr="00B6293B" w:rsidRDefault="00156210" w:rsidP="00B6293B">
      <w:pPr>
        <w:numPr>
          <w:ilvl w:val="0"/>
          <w:numId w:val="16"/>
        </w:num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Выявление групп и интерпретация полученных результатов.</w:t>
      </w:r>
    </w:p>
    <w:p w:rsidR="00A73C18" w:rsidRPr="00B6293B" w:rsidRDefault="0015621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 xml:space="preserve">При определении приоритетных направлений комплексного социально-экономического развития региона кластерный анализ может использоваться в нескольких аспектах. Первая область применения </w:t>
      </w:r>
      <w:r w:rsidR="00B6293B">
        <w:rPr>
          <w:color w:val="000000"/>
          <w:sz w:val="28"/>
          <w:szCs w:val="30"/>
        </w:rPr>
        <w:t>–</w:t>
      </w:r>
      <w:r w:rsidR="00B6293B" w:rsidRPr="00B6293B">
        <w:rPr>
          <w:color w:val="000000"/>
          <w:sz w:val="28"/>
          <w:szCs w:val="30"/>
        </w:rPr>
        <w:t xml:space="preserve"> </w:t>
      </w:r>
      <w:r w:rsidRPr="00B6293B">
        <w:rPr>
          <w:color w:val="000000"/>
          <w:sz w:val="28"/>
          <w:szCs w:val="30"/>
        </w:rPr>
        <w:t xml:space="preserve">это выявление проблем, формирование перечня регионов с низкими показателями доходов населения, обеспеченности жильем, занятости, которым требуется первоочередная помощь. Вторым аспектом анализа является оценка потенциала и отбор регионов, которые могут стать «локомотивами» развития, на основе изучения распределения природных ресурсов, производственных мощностей </w:t>
      </w:r>
      <w:r w:rsidR="00B6293B">
        <w:rPr>
          <w:color w:val="000000"/>
          <w:sz w:val="28"/>
          <w:szCs w:val="30"/>
        </w:rPr>
        <w:t>и т.д.</w:t>
      </w:r>
    </w:p>
    <w:p w:rsidR="00156210" w:rsidRPr="00B6293B" w:rsidRDefault="0015621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Для таких объектов в дальнейшем могут создаваться инвестиционные проекты развития, финансируемые полностью или частично за счет бюджетных средств. Кроме того, проведение кластерного анализа по одним и тем же объектам и показателям по данным разных временных срезов дает представление о динамике развития регионов, их движении относительно сформировавшихся групп, что предоставляет исходную информацию для прогнозирования.</w:t>
      </w:r>
    </w:p>
    <w:p w:rsidR="00156210" w:rsidRPr="00B6293B" w:rsidRDefault="00156210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Использование кластерного анализа не исчерпывается обобщением больших массивов количественных данных. Он также применяется для сопоставления объектов по качественным характеристикам. В стратегическом управлении методики многомерных группировок могут использоваться для агрегирования экспертных оценок текущего или прогнозируемого уровня развития объектов и их подсистем.</w:t>
      </w:r>
    </w:p>
    <w:p w:rsidR="00270151" w:rsidRPr="00B6293B" w:rsidRDefault="0027015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</w:p>
    <w:p w:rsidR="007A2C11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</w:p>
    <w:p w:rsidR="00A73C18" w:rsidRPr="00B6293B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  <w:r>
        <w:rPr>
          <w:b/>
          <w:bCs/>
          <w:color w:val="000000"/>
          <w:sz w:val="28"/>
          <w:szCs w:val="30"/>
        </w:rPr>
        <w:br w:type="page"/>
      </w:r>
      <w:r w:rsidR="00A73C18" w:rsidRPr="00B6293B">
        <w:rPr>
          <w:b/>
          <w:bCs/>
          <w:color w:val="000000"/>
          <w:sz w:val="28"/>
          <w:szCs w:val="30"/>
        </w:rPr>
        <w:t>Заключение</w:t>
      </w:r>
    </w:p>
    <w:p w:rsidR="007A2C11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</w:p>
    <w:p w:rsidR="00A73C18" w:rsidRPr="00B6293B" w:rsidRDefault="00A73C18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Несмотря на широкие возможности кластерного анализа, он обладает рядом недостатков. Подобные расчеты довольно трудоемки и требуют специального программного обеспечения, так как для анализа социально-экономического положения регионов необходимо изучить очень большие объемы информации. Полученные результаты группировки не всегда могут быть адекватно интерпретированы с качественной точки зрения, особенно если признаки, характеризующие объекты, были достаточно разнородными.</w:t>
      </w:r>
    </w:p>
    <w:p w:rsidR="00A73C18" w:rsidRPr="00B6293B" w:rsidRDefault="00A73C18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Таким образом, кластерный анализ представляет собой эффективный инструмент определения приоритетных направлений развития регионов при условии, что ему предшествует тщательный анализ целесообразности включения в исследование тех или иных исходных признаков.</w:t>
      </w:r>
    </w:p>
    <w:p w:rsidR="00A73C18" w:rsidRPr="00B6293B" w:rsidRDefault="00A73C18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</w:p>
    <w:p w:rsidR="00A73C18" w:rsidRPr="00B6293B" w:rsidRDefault="00A73C18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</w:p>
    <w:p w:rsidR="00A73C18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  <w:r>
        <w:rPr>
          <w:b/>
          <w:bCs/>
          <w:color w:val="000000"/>
          <w:sz w:val="28"/>
          <w:szCs w:val="30"/>
        </w:rPr>
        <w:br w:type="page"/>
        <w:t>Список литературы</w:t>
      </w:r>
    </w:p>
    <w:p w:rsidR="007A2C11" w:rsidRPr="00B6293B" w:rsidRDefault="007A2C11" w:rsidP="00B6293B">
      <w:pPr>
        <w:autoSpaceDE w:val="0"/>
        <w:autoSpaceDN w:val="0"/>
        <w:adjustRightInd w:val="0"/>
        <w:spacing w:line="360" w:lineRule="auto"/>
        <w:ind w:firstLine="709"/>
        <w:jc w:val="both"/>
        <w:rPr>
          <w:b/>
          <w:bCs/>
          <w:color w:val="000000"/>
          <w:sz w:val="28"/>
          <w:szCs w:val="30"/>
        </w:rPr>
      </w:pPr>
    </w:p>
    <w:p w:rsidR="00270151" w:rsidRPr="00B6293B" w:rsidRDefault="00270151" w:rsidP="007A2C11">
      <w:pPr>
        <w:numPr>
          <w:ilvl w:val="0"/>
          <w:numId w:val="29"/>
        </w:numPr>
        <w:tabs>
          <w:tab w:val="clear" w:pos="720"/>
          <w:tab w:val="num" w:pos="24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Земельный кодекс Российской Ф</w:t>
      </w:r>
      <w:r w:rsidR="00A73C18" w:rsidRPr="00B6293B">
        <w:rPr>
          <w:color w:val="000000"/>
          <w:sz w:val="28"/>
          <w:szCs w:val="30"/>
        </w:rPr>
        <w:t>едерации. – М.: ГроссМедиа, 2009</w:t>
      </w:r>
      <w:r w:rsidRPr="00B6293B">
        <w:rPr>
          <w:color w:val="000000"/>
          <w:sz w:val="28"/>
          <w:szCs w:val="30"/>
        </w:rPr>
        <w:t>.</w:t>
      </w:r>
    </w:p>
    <w:p w:rsidR="00270151" w:rsidRPr="00B6293B" w:rsidRDefault="00B6293B" w:rsidP="007A2C11">
      <w:pPr>
        <w:numPr>
          <w:ilvl w:val="0"/>
          <w:numId w:val="29"/>
        </w:numPr>
        <w:tabs>
          <w:tab w:val="clear" w:pos="720"/>
          <w:tab w:val="num" w:pos="24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Ледащева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Т.Н.</w:t>
      </w:r>
      <w:r w:rsidR="00270151" w:rsidRPr="00B6293B">
        <w:rPr>
          <w:color w:val="000000"/>
          <w:sz w:val="28"/>
          <w:szCs w:val="30"/>
        </w:rPr>
        <w:t>, Исследование когнитивных систем: Конспект лекций по экоинформатике. Под р</w:t>
      </w:r>
      <w:r w:rsidR="00A73C18" w:rsidRPr="00B6293B">
        <w:rPr>
          <w:color w:val="000000"/>
          <w:sz w:val="28"/>
          <w:szCs w:val="30"/>
        </w:rPr>
        <w:t xml:space="preserve">ед. </w:t>
      </w:r>
      <w:r w:rsidRPr="00B6293B">
        <w:rPr>
          <w:color w:val="000000"/>
          <w:sz w:val="28"/>
          <w:szCs w:val="30"/>
        </w:rPr>
        <w:t>Горелова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В.И.</w:t>
      </w:r>
      <w:r w:rsidR="00A73C18" w:rsidRPr="00B6293B">
        <w:rPr>
          <w:color w:val="000000"/>
          <w:sz w:val="28"/>
          <w:szCs w:val="30"/>
        </w:rPr>
        <w:t>-Москва, 2008</w:t>
      </w:r>
      <w:r w:rsidR="00270151" w:rsidRPr="00B6293B">
        <w:rPr>
          <w:color w:val="000000"/>
          <w:sz w:val="28"/>
          <w:szCs w:val="30"/>
        </w:rPr>
        <w:t>.</w:t>
      </w:r>
    </w:p>
    <w:p w:rsidR="00270151" w:rsidRPr="00B6293B" w:rsidRDefault="00B6293B" w:rsidP="007A2C11">
      <w:pPr>
        <w:numPr>
          <w:ilvl w:val="0"/>
          <w:numId w:val="29"/>
        </w:numPr>
        <w:tabs>
          <w:tab w:val="clear" w:pos="720"/>
          <w:tab w:val="num" w:pos="24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Муравых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А.И.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Основы</w:t>
      </w:r>
      <w:r w:rsidR="00270151" w:rsidRPr="00B6293B">
        <w:rPr>
          <w:color w:val="000000"/>
          <w:sz w:val="28"/>
          <w:szCs w:val="30"/>
        </w:rPr>
        <w:t xml:space="preserve"> экологического управле</w:t>
      </w:r>
      <w:r w:rsidR="00A73C18" w:rsidRPr="00B6293B">
        <w:rPr>
          <w:color w:val="000000"/>
          <w:sz w:val="28"/>
          <w:szCs w:val="30"/>
        </w:rPr>
        <w:t>ния: Лек.</w:t>
      </w:r>
      <w:r>
        <w:rPr>
          <w:color w:val="000000"/>
          <w:sz w:val="28"/>
          <w:szCs w:val="30"/>
        </w:rPr>
        <w:t> –</w:t>
      </w:r>
      <w:r w:rsidRPr="00B6293B">
        <w:rPr>
          <w:color w:val="000000"/>
          <w:sz w:val="28"/>
          <w:szCs w:val="30"/>
        </w:rPr>
        <w:t xml:space="preserve"> </w:t>
      </w:r>
      <w:r w:rsidR="00A73C18" w:rsidRPr="00B6293B">
        <w:rPr>
          <w:color w:val="000000"/>
          <w:sz w:val="28"/>
          <w:szCs w:val="30"/>
        </w:rPr>
        <w:t>М.: Изд. РАГС, 2008</w:t>
      </w:r>
      <w:r w:rsidR="00270151" w:rsidRPr="00B6293B">
        <w:rPr>
          <w:color w:val="000000"/>
          <w:sz w:val="28"/>
          <w:szCs w:val="30"/>
        </w:rPr>
        <w:t>.</w:t>
      </w:r>
    </w:p>
    <w:p w:rsidR="00270151" w:rsidRPr="00B6293B" w:rsidRDefault="00B6293B" w:rsidP="007A2C11">
      <w:pPr>
        <w:numPr>
          <w:ilvl w:val="0"/>
          <w:numId w:val="29"/>
        </w:numPr>
        <w:tabs>
          <w:tab w:val="clear" w:pos="720"/>
          <w:tab w:val="num" w:pos="24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Некрасова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М.А.</w:t>
      </w:r>
      <w:r w:rsidR="00270151" w:rsidRPr="00B6293B">
        <w:rPr>
          <w:color w:val="000000"/>
          <w:sz w:val="28"/>
          <w:szCs w:val="30"/>
        </w:rPr>
        <w:t xml:space="preserve">, </w:t>
      </w:r>
      <w:r w:rsidRPr="00B6293B">
        <w:rPr>
          <w:color w:val="000000"/>
          <w:sz w:val="28"/>
          <w:szCs w:val="30"/>
        </w:rPr>
        <w:t>Крестинина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Н.В.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Управление</w:t>
      </w:r>
      <w:r w:rsidR="00270151" w:rsidRPr="00B6293B">
        <w:rPr>
          <w:color w:val="000000"/>
          <w:sz w:val="28"/>
          <w:szCs w:val="30"/>
        </w:rPr>
        <w:t xml:space="preserve"> экологическими проектами: Учебное пособие. – М.: Изд-</w:t>
      </w:r>
      <w:r w:rsidR="00A73C18" w:rsidRPr="00B6293B">
        <w:rPr>
          <w:color w:val="000000"/>
          <w:sz w:val="28"/>
          <w:szCs w:val="30"/>
        </w:rPr>
        <w:t>во РУДН, 2008</w:t>
      </w:r>
      <w:r w:rsidR="00270151" w:rsidRPr="00B6293B">
        <w:rPr>
          <w:color w:val="000000"/>
          <w:sz w:val="28"/>
          <w:szCs w:val="30"/>
        </w:rPr>
        <w:t>.</w:t>
      </w:r>
    </w:p>
    <w:p w:rsidR="00270151" w:rsidRPr="00B6293B" w:rsidRDefault="00B6293B" w:rsidP="007A2C11">
      <w:pPr>
        <w:numPr>
          <w:ilvl w:val="0"/>
          <w:numId w:val="29"/>
        </w:numPr>
        <w:tabs>
          <w:tab w:val="clear" w:pos="720"/>
          <w:tab w:val="num" w:pos="24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30"/>
        </w:rPr>
      </w:pPr>
      <w:r w:rsidRPr="00B6293B">
        <w:rPr>
          <w:iCs/>
          <w:color w:val="000000"/>
          <w:sz w:val="28"/>
          <w:szCs w:val="30"/>
        </w:rPr>
        <w:t>Варнавский</w:t>
      </w:r>
      <w:r>
        <w:rPr>
          <w:iCs/>
          <w:color w:val="000000"/>
          <w:sz w:val="28"/>
          <w:szCs w:val="30"/>
        </w:rPr>
        <w:t> </w:t>
      </w:r>
      <w:r w:rsidRPr="00B6293B">
        <w:rPr>
          <w:iCs/>
          <w:color w:val="000000"/>
          <w:sz w:val="28"/>
          <w:szCs w:val="30"/>
        </w:rPr>
        <w:t>В.Г.</w:t>
      </w:r>
      <w:r>
        <w:rPr>
          <w:iCs/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Концессионный</w:t>
      </w:r>
      <w:r w:rsidR="00270151" w:rsidRPr="00B6293B">
        <w:rPr>
          <w:color w:val="000000"/>
          <w:sz w:val="28"/>
          <w:szCs w:val="30"/>
        </w:rPr>
        <w:t xml:space="preserve"> механизм партнёрства государств</w:t>
      </w:r>
      <w:r w:rsidR="00A73C18" w:rsidRPr="00B6293B">
        <w:rPr>
          <w:color w:val="000000"/>
          <w:sz w:val="28"/>
          <w:szCs w:val="30"/>
        </w:rPr>
        <w:t>а и частного сектора. – М., 2005.</w:t>
      </w:r>
    </w:p>
    <w:p w:rsidR="00270151" w:rsidRPr="00B6293B" w:rsidRDefault="00B6293B" w:rsidP="007A2C11">
      <w:pPr>
        <w:numPr>
          <w:ilvl w:val="0"/>
          <w:numId w:val="29"/>
        </w:numPr>
        <w:tabs>
          <w:tab w:val="clear" w:pos="720"/>
          <w:tab w:val="num" w:pos="24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Орлов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А.И.</w:t>
      </w:r>
      <w:r w:rsidR="00270151" w:rsidRPr="00B6293B">
        <w:rPr>
          <w:color w:val="000000"/>
          <w:sz w:val="28"/>
          <w:szCs w:val="30"/>
        </w:rPr>
        <w:t xml:space="preserve"> (2006) Теория принятия решений. </w:t>
      </w:r>
      <w:r>
        <w:rPr>
          <w:color w:val="000000"/>
          <w:sz w:val="28"/>
          <w:szCs w:val="30"/>
        </w:rPr>
        <w:t>–</w:t>
      </w:r>
      <w:r w:rsidRPr="00B6293B">
        <w:rPr>
          <w:color w:val="000000"/>
          <w:sz w:val="28"/>
          <w:szCs w:val="30"/>
        </w:rPr>
        <w:t xml:space="preserve"> </w:t>
      </w:r>
      <w:r w:rsidR="00270151" w:rsidRPr="00B6293B">
        <w:rPr>
          <w:color w:val="000000"/>
          <w:sz w:val="28"/>
          <w:szCs w:val="30"/>
        </w:rPr>
        <w:t xml:space="preserve">М.: Экзамен. </w:t>
      </w:r>
      <w:r w:rsidR="00A73C18" w:rsidRPr="00B6293B">
        <w:rPr>
          <w:color w:val="000000"/>
          <w:sz w:val="28"/>
          <w:szCs w:val="30"/>
        </w:rPr>
        <w:t>2008</w:t>
      </w:r>
    </w:p>
    <w:p w:rsidR="00270151" w:rsidRPr="00B6293B" w:rsidRDefault="00B6293B" w:rsidP="007A2C11">
      <w:pPr>
        <w:numPr>
          <w:ilvl w:val="0"/>
          <w:numId w:val="29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30"/>
        </w:rPr>
      </w:pPr>
      <w:r w:rsidRPr="00B6293B">
        <w:rPr>
          <w:color w:val="000000"/>
          <w:sz w:val="28"/>
          <w:szCs w:val="30"/>
        </w:rPr>
        <w:t>Портер</w:t>
      </w:r>
      <w:r>
        <w:rPr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М.</w:t>
      </w:r>
      <w:r w:rsidR="00270151" w:rsidRPr="00B6293B">
        <w:rPr>
          <w:color w:val="000000"/>
          <w:sz w:val="28"/>
          <w:szCs w:val="30"/>
        </w:rPr>
        <w:t xml:space="preserve"> (2005) Конкуренция.: Пер. с англ. </w:t>
      </w:r>
      <w:r>
        <w:rPr>
          <w:color w:val="000000"/>
          <w:sz w:val="28"/>
          <w:szCs w:val="30"/>
        </w:rPr>
        <w:t>–</w:t>
      </w:r>
      <w:r w:rsidRPr="00B6293B">
        <w:rPr>
          <w:color w:val="000000"/>
          <w:sz w:val="28"/>
          <w:szCs w:val="30"/>
        </w:rPr>
        <w:t xml:space="preserve"> </w:t>
      </w:r>
      <w:r w:rsidR="00270151" w:rsidRPr="00B6293B">
        <w:rPr>
          <w:color w:val="000000"/>
          <w:sz w:val="28"/>
          <w:szCs w:val="30"/>
        </w:rPr>
        <w:t>М.: Изд</w:t>
      </w:r>
      <w:r w:rsidR="00A73C18" w:rsidRPr="00B6293B">
        <w:rPr>
          <w:color w:val="000000"/>
          <w:sz w:val="28"/>
          <w:szCs w:val="30"/>
        </w:rPr>
        <w:t>ательский дом «Вильямс», 2007</w:t>
      </w:r>
      <w:r w:rsidR="00270151" w:rsidRPr="00B6293B">
        <w:rPr>
          <w:color w:val="000000"/>
          <w:sz w:val="28"/>
          <w:szCs w:val="30"/>
        </w:rPr>
        <w:t>.</w:t>
      </w:r>
    </w:p>
    <w:p w:rsidR="00270151" w:rsidRPr="00B6293B" w:rsidRDefault="00B6293B" w:rsidP="007A2C11">
      <w:pPr>
        <w:numPr>
          <w:ilvl w:val="0"/>
          <w:numId w:val="29"/>
        </w:numPr>
        <w:tabs>
          <w:tab w:val="clear" w:pos="720"/>
          <w:tab w:val="num" w:pos="360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color w:val="000000"/>
          <w:sz w:val="28"/>
          <w:szCs w:val="30"/>
        </w:rPr>
      </w:pPr>
      <w:r w:rsidRPr="00B6293B">
        <w:rPr>
          <w:iCs/>
          <w:color w:val="000000"/>
          <w:sz w:val="28"/>
          <w:szCs w:val="30"/>
        </w:rPr>
        <w:t>Гительман</w:t>
      </w:r>
      <w:r>
        <w:rPr>
          <w:iCs/>
          <w:color w:val="000000"/>
          <w:sz w:val="28"/>
          <w:szCs w:val="30"/>
        </w:rPr>
        <w:t> </w:t>
      </w:r>
      <w:r w:rsidRPr="00B6293B">
        <w:rPr>
          <w:iCs/>
          <w:color w:val="000000"/>
          <w:sz w:val="28"/>
          <w:szCs w:val="30"/>
        </w:rPr>
        <w:t>Л.Д.</w:t>
      </w:r>
      <w:r>
        <w:rPr>
          <w:iCs/>
          <w:color w:val="000000"/>
          <w:sz w:val="28"/>
          <w:szCs w:val="30"/>
        </w:rPr>
        <w:t> </w:t>
      </w:r>
      <w:r w:rsidRPr="00B6293B">
        <w:rPr>
          <w:color w:val="000000"/>
          <w:sz w:val="28"/>
          <w:szCs w:val="30"/>
        </w:rPr>
        <w:t>Энергетический</w:t>
      </w:r>
      <w:r w:rsidR="00270151" w:rsidRPr="00B6293B">
        <w:rPr>
          <w:color w:val="000000"/>
          <w:sz w:val="28"/>
          <w:szCs w:val="30"/>
        </w:rPr>
        <w:t xml:space="preserve"> бизнес. – М.: Дело, 200</w:t>
      </w:r>
      <w:r w:rsidR="00A73C18" w:rsidRPr="00B6293B">
        <w:rPr>
          <w:color w:val="000000"/>
          <w:sz w:val="28"/>
          <w:szCs w:val="30"/>
        </w:rPr>
        <w:t>9.</w:t>
      </w:r>
      <w:bookmarkStart w:id="0" w:name="_GoBack"/>
      <w:bookmarkEnd w:id="0"/>
    </w:p>
    <w:sectPr w:rsidR="00270151" w:rsidRPr="00B6293B" w:rsidSect="00B6293B">
      <w:headerReference w:type="even" r:id="rId7"/>
      <w:headerReference w:type="default" r:id="rId8"/>
      <w:pgSz w:w="11904" w:h="16838"/>
      <w:pgMar w:top="1134" w:right="850" w:bottom="1134" w:left="1701" w:header="720" w:footer="720" w:gutter="0"/>
      <w:pgNumType w:start="2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C98" w:rsidRDefault="00683C98">
      <w:r>
        <w:separator/>
      </w:r>
    </w:p>
  </w:endnote>
  <w:endnote w:type="continuationSeparator" w:id="0">
    <w:p w:rsidR="00683C98" w:rsidRDefault="00683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C98" w:rsidRDefault="00683C98">
      <w:r>
        <w:separator/>
      </w:r>
    </w:p>
  </w:footnote>
  <w:footnote w:type="continuationSeparator" w:id="0">
    <w:p w:rsidR="00683C98" w:rsidRDefault="00683C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3C18" w:rsidRDefault="00A73C18" w:rsidP="005D380E">
    <w:pPr>
      <w:pStyle w:val="a7"/>
      <w:framePr w:wrap="around" w:vAnchor="text" w:hAnchor="margin" w:xAlign="right" w:y="1"/>
      <w:rPr>
        <w:rStyle w:val="a9"/>
      </w:rPr>
    </w:pPr>
  </w:p>
  <w:p w:rsidR="00A73C18" w:rsidRDefault="00A73C18" w:rsidP="00A73C18">
    <w:pPr>
      <w:pStyle w:val="a7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3C18" w:rsidRDefault="000D3AC4" w:rsidP="005D380E">
    <w:pPr>
      <w:pStyle w:val="a7"/>
      <w:framePr w:wrap="around" w:vAnchor="text" w:hAnchor="margin" w:xAlign="right" w:y="1"/>
      <w:rPr>
        <w:rStyle w:val="a9"/>
      </w:rPr>
    </w:pPr>
    <w:r>
      <w:rPr>
        <w:rStyle w:val="a9"/>
        <w:noProof/>
      </w:rPr>
      <w:t>3</w:t>
    </w:r>
  </w:p>
  <w:p w:rsidR="00A73C18" w:rsidRDefault="00A73C18" w:rsidP="00A73C18">
    <w:pPr>
      <w:pStyle w:val="a7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ECBB727"/>
    <w:multiLevelType w:val="hybridMultilevel"/>
    <w:tmpl w:val="E2F885EB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>
    <w:nsid w:val="9346FB4C"/>
    <w:multiLevelType w:val="hybridMultilevel"/>
    <w:tmpl w:val="69B8CD62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>
    <w:nsid w:val="97036429"/>
    <w:multiLevelType w:val="hybridMultilevel"/>
    <w:tmpl w:val="4373B6A8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>
    <w:nsid w:val="9723F747"/>
    <w:multiLevelType w:val="hybridMultilevel"/>
    <w:tmpl w:val="75E9781B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>
    <w:nsid w:val="9EB6B337"/>
    <w:multiLevelType w:val="hybridMultilevel"/>
    <w:tmpl w:val="E2489BF6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>
    <w:nsid w:val="A1770EFE"/>
    <w:multiLevelType w:val="hybridMultilevel"/>
    <w:tmpl w:val="FE016F2B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>
    <w:nsid w:val="A5C77385"/>
    <w:multiLevelType w:val="hybridMultilevel"/>
    <w:tmpl w:val="2A95E4D5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7">
    <w:nsid w:val="A763E2FC"/>
    <w:multiLevelType w:val="hybridMultilevel"/>
    <w:tmpl w:val="A1E0AA56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8">
    <w:nsid w:val="AF146399"/>
    <w:multiLevelType w:val="hybridMultilevel"/>
    <w:tmpl w:val="FCB41870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>
    <w:nsid w:val="B61F4349"/>
    <w:multiLevelType w:val="hybridMultilevel"/>
    <w:tmpl w:val="B96C7F59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>
    <w:nsid w:val="B6F27970"/>
    <w:multiLevelType w:val="hybridMultilevel"/>
    <w:tmpl w:val="9A111F02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>
    <w:nsid w:val="BA12FBA3"/>
    <w:multiLevelType w:val="hybridMultilevel"/>
    <w:tmpl w:val="7A0DE6BD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>
    <w:nsid w:val="BA873581"/>
    <w:multiLevelType w:val="hybridMultilevel"/>
    <w:tmpl w:val="9E8B9E74"/>
    <w:lvl w:ilvl="0" w:tplc="FFFFFFFF">
      <w:start w:val="1"/>
      <w:numFmt w:val="ideographDigit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>
    <w:nsid w:val="CB6B7A61"/>
    <w:multiLevelType w:val="hybridMultilevel"/>
    <w:tmpl w:val="1A8B9D75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>
    <w:nsid w:val="D362085B"/>
    <w:multiLevelType w:val="hybridMultilevel"/>
    <w:tmpl w:val="677B6379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5">
    <w:nsid w:val="D3CC6F1F"/>
    <w:multiLevelType w:val="hybridMultilevel"/>
    <w:tmpl w:val="BCCE3561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6">
    <w:nsid w:val="EE792BB4"/>
    <w:multiLevelType w:val="hybridMultilevel"/>
    <w:tmpl w:val="62870BA3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7">
    <w:nsid w:val="F5267E17"/>
    <w:multiLevelType w:val="hybridMultilevel"/>
    <w:tmpl w:val="CBDBC07A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8">
    <w:nsid w:val="F9889D4B"/>
    <w:multiLevelType w:val="hybridMultilevel"/>
    <w:tmpl w:val="0D07973F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9">
    <w:nsid w:val="0668462B"/>
    <w:multiLevelType w:val="hybridMultilevel"/>
    <w:tmpl w:val="25586600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0">
    <w:nsid w:val="08C3AAD4"/>
    <w:multiLevelType w:val="hybridMultilevel"/>
    <w:tmpl w:val="A3510888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1">
    <w:nsid w:val="162E2017"/>
    <w:multiLevelType w:val="hybridMultilevel"/>
    <w:tmpl w:val="8D4E79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18A38D06"/>
    <w:multiLevelType w:val="hybridMultilevel"/>
    <w:tmpl w:val="BBC890BC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3">
    <w:nsid w:val="199CE081"/>
    <w:multiLevelType w:val="hybridMultilevel"/>
    <w:tmpl w:val="82BF77A5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4">
    <w:nsid w:val="45B75261"/>
    <w:multiLevelType w:val="hybridMultilevel"/>
    <w:tmpl w:val="DAABAD54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5">
    <w:nsid w:val="530A67E9"/>
    <w:multiLevelType w:val="hybridMultilevel"/>
    <w:tmpl w:val="819B30EF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6">
    <w:nsid w:val="5B6155A3"/>
    <w:multiLevelType w:val="hybridMultilevel"/>
    <w:tmpl w:val="3FACF03A"/>
    <w:lvl w:ilvl="0" w:tplc="FFFFFFFF">
      <w:start w:val="1"/>
      <w:numFmt w:val="decimal"/>
      <w:lvlText w:val="%1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7">
    <w:nsid w:val="5F934FCC"/>
    <w:multiLevelType w:val="hybridMultilevel"/>
    <w:tmpl w:val="18D649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7AB2C4E1"/>
    <w:multiLevelType w:val="hybridMultilevel"/>
    <w:tmpl w:val="3790F5DA"/>
    <w:lvl w:ilvl="0" w:tplc="FFFFFFFF">
      <w:start w:val="1"/>
      <w:numFmt w:val="decimal"/>
      <w:lvlText w:val=".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23"/>
  </w:num>
  <w:num w:numId="2">
    <w:abstractNumId w:val="13"/>
  </w:num>
  <w:num w:numId="3">
    <w:abstractNumId w:val="4"/>
  </w:num>
  <w:num w:numId="4">
    <w:abstractNumId w:val="26"/>
  </w:num>
  <w:num w:numId="5">
    <w:abstractNumId w:val="5"/>
  </w:num>
  <w:num w:numId="6">
    <w:abstractNumId w:val="24"/>
  </w:num>
  <w:num w:numId="7">
    <w:abstractNumId w:val="18"/>
  </w:num>
  <w:num w:numId="8">
    <w:abstractNumId w:val="20"/>
  </w:num>
  <w:num w:numId="9">
    <w:abstractNumId w:val="28"/>
  </w:num>
  <w:num w:numId="10">
    <w:abstractNumId w:val="8"/>
  </w:num>
  <w:num w:numId="11">
    <w:abstractNumId w:val="9"/>
  </w:num>
  <w:num w:numId="12">
    <w:abstractNumId w:val="7"/>
  </w:num>
  <w:num w:numId="13">
    <w:abstractNumId w:val="17"/>
  </w:num>
  <w:num w:numId="14">
    <w:abstractNumId w:val="15"/>
  </w:num>
  <w:num w:numId="15">
    <w:abstractNumId w:val="2"/>
  </w:num>
  <w:num w:numId="16">
    <w:abstractNumId w:val="1"/>
  </w:num>
  <w:num w:numId="17">
    <w:abstractNumId w:val="11"/>
  </w:num>
  <w:num w:numId="18">
    <w:abstractNumId w:val="22"/>
  </w:num>
  <w:num w:numId="19">
    <w:abstractNumId w:val="12"/>
  </w:num>
  <w:num w:numId="20">
    <w:abstractNumId w:val="0"/>
  </w:num>
  <w:num w:numId="21">
    <w:abstractNumId w:val="14"/>
  </w:num>
  <w:num w:numId="22">
    <w:abstractNumId w:val="6"/>
  </w:num>
  <w:num w:numId="23">
    <w:abstractNumId w:val="10"/>
  </w:num>
  <w:num w:numId="24">
    <w:abstractNumId w:val="16"/>
  </w:num>
  <w:num w:numId="25">
    <w:abstractNumId w:val="19"/>
  </w:num>
  <w:num w:numId="26">
    <w:abstractNumId w:val="3"/>
  </w:num>
  <w:num w:numId="27">
    <w:abstractNumId w:val="25"/>
  </w:num>
  <w:num w:numId="28">
    <w:abstractNumId w:val="27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4600"/>
    <w:rsid w:val="000D3AC4"/>
    <w:rsid w:val="00124600"/>
    <w:rsid w:val="00156210"/>
    <w:rsid w:val="00224BC1"/>
    <w:rsid w:val="00270151"/>
    <w:rsid w:val="003E2BA9"/>
    <w:rsid w:val="004C43D7"/>
    <w:rsid w:val="005D380E"/>
    <w:rsid w:val="00637269"/>
    <w:rsid w:val="00683C98"/>
    <w:rsid w:val="007A2C11"/>
    <w:rsid w:val="009A15E9"/>
    <w:rsid w:val="00A73C18"/>
    <w:rsid w:val="00B6293B"/>
    <w:rsid w:val="00B76589"/>
    <w:rsid w:val="00C539DC"/>
    <w:rsid w:val="00E2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7E65552B-C237-4192-9DE9-03F2AFE70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Default"/>
    <w:next w:val="Default"/>
    <w:link w:val="30"/>
    <w:uiPriority w:val="99"/>
    <w:qFormat/>
    <w:rsid w:val="00124600"/>
    <w:pPr>
      <w:outlineLvl w:val="2"/>
    </w:pPr>
    <w:rPr>
      <w:color w:val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locked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uiPriority w:val="99"/>
    <w:rsid w:val="0012460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demography">
    <w:name w:val="demography_начало"/>
    <w:basedOn w:val="Default"/>
    <w:next w:val="Default"/>
    <w:uiPriority w:val="99"/>
    <w:rsid w:val="00124600"/>
    <w:rPr>
      <w:color w:val="auto"/>
    </w:rPr>
  </w:style>
  <w:style w:type="paragraph" w:styleId="a3">
    <w:name w:val="Normal (Web)"/>
    <w:aliases w:val="Обычный (веб) Знак,Обычный (веб) Знак Знак"/>
    <w:basedOn w:val="Default"/>
    <w:next w:val="Default"/>
    <w:uiPriority w:val="99"/>
    <w:rsid w:val="00124600"/>
    <w:rPr>
      <w:color w:val="auto"/>
    </w:rPr>
  </w:style>
  <w:style w:type="paragraph" w:customStyle="1" w:styleId="a4">
    <w:name w:val="Ломоносов_ВУЗ_мэйл"/>
    <w:basedOn w:val="Default"/>
    <w:next w:val="Default"/>
    <w:uiPriority w:val="99"/>
    <w:rsid w:val="00124600"/>
    <w:rPr>
      <w:color w:val="auto"/>
    </w:rPr>
  </w:style>
  <w:style w:type="paragraph" w:customStyle="1" w:styleId="lomabstact">
    <w:name w:val="lom_abstact"/>
    <w:basedOn w:val="Default"/>
    <w:next w:val="Default"/>
    <w:uiPriority w:val="99"/>
    <w:rsid w:val="00124600"/>
    <w:rPr>
      <w:color w:val="auto"/>
    </w:rPr>
  </w:style>
  <w:style w:type="paragraph" w:styleId="a5">
    <w:name w:val="Body Text"/>
    <w:basedOn w:val="Default"/>
    <w:next w:val="Default"/>
    <w:link w:val="a6"/>
    <w:uiPriority w:val="99"/>
    <w:rsid w:val="00124600"/>
    <w:rPr>
      <w:color w:val="auto"/>
    </w:rPr>
  </w:style>
  <w:style w:type="character" w:customStyle="1" w:styleId="a6">
    <w:name w:val="Основний текст Знак"/>
    <w:link w:val="a5"/>
    <w:uiPriority w:val="99"/>
    <w:semiHidden/>
    <w:locked/>
    <w:rPr>
      <w:rFonts w:cs="Times New Roman"/>
      <w:sz w:val="24"/>
      <w:szCs w:val="24"/>
    </w:rPr>
  </w:style>
  <w:style w:type="paragraph" w:customStyle="1" w:styleId="ConsNormal">
    <w:name w:val="ConsNormal"/>
    <w:basedOn w:val="Default"/>
    <w:next w:val="Default"/>
    <w:uiPriority w:val="99"/>
    <w:rsid w:val="00124600"/>
    <w:rPr>
      <w:color w:val="auto"/>
    </w:rPr>
  </w:style>
  <w:style w:type="paragraph" w:styleId="31">
    <w:name w:val="Body Text Indent 3"/>
    <w:basedOn w:val="Default"/>
    <w:next w:val="Default"/>
    <w:link w:val="32"/>
    <w:uiPriority w:val="99"/>
    <w:rsid w:val="00124600"/>
    <w:rPr>
      <w:color w:val="auto"/>
    </w:rPr>
  </w:style>
  <w:style w:type="character" w:customStyle="1" w:styleId="32">
    <w:name w:val="Основний текст з відступом 3 Знак"/>
    <w:link w:val="31"/>
    <w:uiPriority w:val="99"/>
    <w:semiHidden/>
    <w:locked/>
    <w:rPr>
      <w:rFonts w:cs="Times New Roman"/>
      <w:sz w:val="16"/>
      <w:szCs w:val="16"/>
    </w:rPr>
  </w:style>
  <w:style w:type="paragraph" w:styleId="2">
    <w:name w:val="Body Text Indent 2"/>
    <w:basedOn w:val="Default"/>
    <w:next w:val="Default"/>
    <w:link w:val="20"/>
    <w:uiPriority w:val="99"/>
    <w:rsid w:val="00124600"/>
    <w:rPr>
      <w:color w:val="auto"/>
    </w:rPr>
  </w:style>
  <w:style w:type="character" w:customStyle="1" w:styleId="20">
    <w:name w:val="Основний текст з відступом 2 Знак"/>
    <w:link w:val="2"/>
    <w:uiPriority w:val="99"/>
    <w:semiHidden/>
    <w:locked/>
    <w:rPr>
      <w:rFonts w:cs="Times New Roman"/>
      <w:sz w:val="24"/>
      <w:szCs w:val="24"/>
    </w:rPr>
  </w:style>
  <w:style w:type="paragraph" w:customStyle="1" w:styleId="interview1">
    <w:name w:val="interview1"/>
    <w:basedOn w:val="Default"/>
    <w:next w:val="Default"/>
    <w:uiPriority w:val="99"/>
    <w:rsid w:val="00124600"/>
    <w:rPr>
      <w:color w:val="auto"/>
    </w:rPr>
  </w:style>
  <w:style w:type="paragraph" w:customStyle="1" w:styleId="text20">
    <w:name w:val="text20"/>
    <w:basedOn w:val="Default"/>
    <w:next w:val="Default"/>
    <w:uiPriority w:val="99"/>
    <w:rsid w:val="00124600"/>
    <w:rPr>
      <w:color w:val="auto"/>
    </w:rPr>
  </w:style>
  <w:style w:type="paragraph" w:customStyle="1" w:styleId="magnum1">
    <w:name w:val="magnum1"/>
    <w:basedOn w:val="Default"/>
    <w:next w:val="Default"/>
    <w:uiPriority w:val="99"/>
    <w:rsid w:val="00124600"/>
    <w:rPr>
      <w:color w:val="auto"/>
    </w:rPr>
  </w:style>
  <w:style w:type="paragraph" w:customStyle="1" w:styleId="src1">
    <w:name w:val="src1"/>
    <w:basedOn w:val="Default"/>
    <w:next w:val="Default"/>
    <w:uiPriority w:val="99"/>
    <w:rsid w:val="00124600"/>
    <w:rPr>
      <w:color w:val="auto"/>
    </w:rPr>
  </w:style>
  <w:style w:type="paragraph" w:customStyle="1" w:styleId="ConsNonformat">
    <w:name w:val="ConsNonformat"/>
    <w:basedOn w:val="Default"/>
    <w:next w:val="Default"/>
    <w:uiPriority w:val="99"/>
    <w:rsid w:val="00124600"/>
    <w:rPr>
      <w:color w:val="auto"/>
    </w:rPr>
  </w:style>
  <w:style w:type="paragraph" w:customStyle="1" w:styleId="MainTXT">
    <w:name w:val="MainTXT"/>
    <w:basedOn w:val="Default"/>
    <w:next w:val="Default"/>
    <w:uiPriority w:val="99"/>
    <w:rsid w:val="00124600"/>
    <w:rPr>
      <w:color w:val="auto"/>
    </w:rPr>
  </w:style>
  <w:style w:type="paragraph" w:styleId="a7">
    <w:name w:val="header"/>
    <w:basedOn w:val="a"/>
    <w:link w:val="a8"/>
    <w:uiPriority w:val="99"/>
    <w:rsid w:val="00A73C18"/>
    <w:pPr>
      <w:tabs>
        <w:tab w:val="center" w:pos="4677"/>
        <w:tab w:val="right" w:pos="9355"/>
      </w:tabs>
    </w:pPr>
  </w:style>
  <w:style w:type="character" w:customStyle="1" w:styleId="a8">
    <w:name w:val="Верхній колонтитул Знак"/>
    <w:link w:val="a7"/>
    <w:uiPriority w:val="99"/>
    <w:semiHidden/>
    <w:locked/>
    <w:rPr>
      <w:rFonts w:cs="Times New Roman"/>
      <w:sz w:val="24"/>
      <w:szCs w:val="24"/>
    </w:rPr>
  </w:style>
  <w:style w:type="character" w:styleId="a9">
    <w:name w:val="page number"/>
    <w:uiPriority w:val="99"/>
    <w:rsid w:val="00A73C18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2907</Words>
  <Characters>16573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Проблема муниципального управления производственной инфраструктуры </vt:lpstr>
    </vt:vector>
  </TitlesOfParts>
  <Company>ussr</Company>
  <LinksUpToDate>false</LinksUpToDate>
  <CharactersWithSpaces>19442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Проблема муниципального управления производственной инфраструктуры </dc:title>
  <dc:subject/>
  <dc:creator>user</dc:creator>
  <cp:keywords/>
  <dc:description/>
  <cp:lastModifiedBy>Irina</cp:lastModifiedBy>
  <cp:revision>2</cp:revision>
  <dcterms:created xsi:type="dcterms:W3CDTF">2014-08-10T18:39:00Z</dcterms:created>
  <dcterms:modified xsi:type="dcterms:W3CDTF">2014-08-10T18:39:00Z</dcterms:modified>
</cp:coreProperties>
</file>