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F1E80" w:rsidRDefault="006B675C" w:rsidP="000E300A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0E300A">
        <w:rPr>
          <w:b/>
          <w:bCs/>
          <w:sz w:val="28"/>
          <w:szCs w:val="28"/>
          <w:lang w:val="uk-UA"/>
        </w:rPr>
        <w:t>КОНТРОЛЬНА РОБОТА</w:t>
      </w:r>
    </w:p>
    <w:p w:rsidR="008F1E80" w:rsidRDefault="006B675C" w:rsidP="000E300A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0E300A">
        <w:rPr>
          <w:b/>
          <w:bCs/>
          <w:sz w:val="28"/>
          <w:szCs w:val="28"/>
          <w:lang w:val="uk-UA"/>
        </w:rPr>
        <w:t>Побудова моделі для аналізу та прогнозу</w:t>
      </w:r>
    </w:p>
    <w:p w:rsidR="008F1E80" w:rsidRDefault="006B675C" w:rsidP="000E300A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0E300A">
        <w:rPr>
          <w:b/>
          <w:bCs/>
          <w:sz w:val="28"/>
          <w:szCs w:val="28"/>
          <w:lang w:val="uk-UA"/>
        </w:rPr>
        <w:t>поквартального випуску продукції компанії</w:t>
      </w:r>
    </w:p>
    <w:p w:rsidR="008F1E80" w:rsidRDefault="008F1E80" w:rsidP="000E300A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</w:p>
    <w:p w:rsidR="008F1E80" w:rsidRDefault="006B675C" w:rsidP="000E300A">
      <w:pPr>
        <w:suppressAutoHyphens/>
        <w:spacing w:line="360" w:lineRule="auto"/>
        <w:jc w:val="center"/>
        <w:rPr>
          <w:sz w:val="28"/>
          <w:szCs w:val="28"/>
          <w:lang w:val="uk-UA"/>
        </w:rPr>
      </w:pPr>
      <w:r w:rsidRPr="000E300A">
        <w:rPr>
          <w:b/>
          <w:bCs/>
          <w:sz w:val="28"/>
          <w:szCs w:val="28"/>
          <w:lang w:val="uk-UA"/>
        </w:rPr>
        <w:br w:type="page"/>
      </w:r>
      <w:r w:rsidR="000952A4" w:rsidRPr="000E300A">
        <w:rPr>
          <w:b/>
          <w:bCs/>
          <w:sz w:val="28"/>
          <w:szCs w:val="28"/>
          <w:lang w:val="uk-UA"/>
        </w:rPr>
        <w:t>Задача</w:t>
      </w:r>
      <w:r w:rsidR="000E300A">
        <w:rPr>
          <w:b/>
          <w:bCs/>
          <w:sz w:val="28"/>
          <w:szCs w:val="28"/>
          <w:lang w:val="uk-UA"/>
        </w:rPr>
        <w:t xml:space="preserve"> 1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0952A4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У таблиці приведені квартальні обсяги випуску продукції компанії “</w:t>
      </w:r>
      <w:r w:rsidRPr="000E300A">
        <w:rPr>
          <w:sz w:val="28"/>
          <w:szCs w:val="28"/>
          <w:lang w:val="en-US"/>
        </w:rPr>
        <w:t>Cjbournes</w:t>
      </w:r>
      <w:r w:rsidRPr="000E300A">
        <w:rPr>
          <w:sz w:val="28"/>
          <w:szCs w:val="28"/>
          <w:lang w:val="uk-UA"/>
        </w:rPr>
        <w:t xml:space="preserve"> </w:t>
      </w:r>
      <w:r w:rsidRPr="000E300A">
        <w:rPr>
          <w:sz w:val="28"/>
          <w:szCs w:val="28"/>
          <w:lang w:val="en-US"/>
        </w:rPr>
        <w:t>plc</w:t>
      </w:r>
      <w:r w:rsidRPr="000E300A">
        <w:rPr>
          <w:sz w:val="28"/>
          <w:szCs w:val="28"/>
          <w:lang w:val="uk-UA"/>
        </w:rPr>
        <w:t>” :</w:t>
      </w:r>
    </w:p>
    <w:p w:rsidR="000952A4" w:rsidRPr="000E300A" w:rsidRDefault="000952A4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6"/>
        <w:gridCol w:w="497"/>
        <w:gridCol w:w="497"/>
        <w:gridCol w:w="497"/>
        <w:gridCol w:w="500"/>
        <w:gridCol w:w="497"/>
        <w:gridCol w:w="497"/>
        <w:gridCol w:w="497"/>
        <w:gridCol w:w="500"/>
        <w:gridCol w:w="497"/>
        <w:gridCol w:w="497"/>
        <w:gridCol w:w="497"/>
        <w:gridCol w:w="412"/>
      </w:tblGrid>
      <w:tr w:rsidR="000E300A" w:rsidRPr="000E300A" w:rsidTr="000E300A">
        <w:trPr>
          <w:trHeight w:val="120"/>
          <w:jc w:val="center"/>
        </w:trPr>
        <w:tc>
          <w:tcPr>
            <w:tcW w:w="999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</w:rPr>
              <w:t>Р</w:t>
            </w:r>
            <w:r w:rsidRPr="000E300A">
              <w:rPr>
                <w:sz w:val="20"/>
                <w:szCs w:val="20"/>
                <w:lang w:val="uk-UA"/>
              </w:rPr>
              <w:t>ік</w:t>
            </w:r>
          </w:p>
        </w:tc>
        <w:tc>
          <w:tcPr>
            <w:tcW w:w="1990" w:type="dxa"/>
            <w:gridSpan w:val="4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1990" w:type="dxa"/>
            <w:gridSpan w:val="4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1902" w:type="dxa"/>
            <w:gridSpan w:val="4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3</w:t>
            </w:r>
          </w:p>
        </w:tc>
      </w:tr>
      <w:tr w:rsidR="000E300A" w:rsidRPr="000E300A" w:rsidTr="000E300A">
        <w:trPr>
          <w:trHeight w:val="253"/>
          <w:jc w:val="center"/>
        </w:trPr>
        <w:tc>
          <w:tcPr>
            <w:tcW w:w="999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  <w:lang w:val="uk-UA"/>
              </w:rPr>
            </w:pPr>
            <w:r w:rsidRPr="000E300A">
              <w:rPr>
                <w:sz w:val="20"/>
                <w:szCs w:val="20"/>
                <w:lang w:val="uk-UA"/>
              </w:rPr>
              <w:t>Квартали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00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500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412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</w:p>
        </w:tc>
      </w:tr>
      <w:tr w:rsidR="000E300A" w:rsidRPr="000E300A" w:rsidTr="000E300A">
        <w:trPr>
          <w:trHeight w:val="514"/>
          <w:jc w:val="center"/>
        </w:trPr>
        <w:tc>
          <w:tcPr>
            <w:tcW w:w="999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  <w:lang w:val="uk-UA"/>
              </w:rPr>
            </w:pPr>
            <w:r w:rsidRPr="000E300A">
              <w:rPr>
                <w:sz w:val="20"/>
                <w:szCs w:val="20"/>
                <w:lang w:val="uk-UA"/>
              </w:rPr>
              <w:t>Обсяги випуску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24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50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56</w:t>
            </w:r>
          </w:p>
        </w:tc>
        <w:tc>
          <w:tcPr>
            <w:tcW w:w="500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43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39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69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79</w:t>
            </w:r>
          </w:p>
        </w:tc>
        <w:tc>
          <w:tcPr>
            <w:tcW w:w="500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80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53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80</w:t>
            </w:r>
          </w:p>
        </w:tc>
        <w:tc>
          <w:tcPr>
            <w:tcW w:w="497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  <w:r w:rsidRPr="000E300A">
              <w:rPr>
                <w:sz w:val="20"/>
                <w:szCs w:val="20"/>
                <w:lang w:val="uk-UA"/>
              </w:rPr>
              <w:t>88</w:t>
            </w:r>
          </w:p>
        </w:tc>
        <w:tc>
          <w:tcPr>
            <w:tcW w:w="412" w:type="dxa"/>
          </w:tcPr>
          <w:p w:rsidR="007E7EFB" w:rsidRPr="000E300A" w:rsidRDefault="007E7EFB" w:rsidP="000E300A">
            <w:pPr>
              <w:suppressAutoHyphens/>
              <w:rPr>
                <w:sz w:val="20"/>
                <w:szCs w:val="20"/>
              </w:rPr>
            </w:pPr>
          </w:p>
        </w:tc>
      </w:tr>
    </w:tbl>
    <w:p w:rsidR="008F1E80" w:rsidRDefault="008F1E80" w:rsidP="000E300A">
      <w:pPr>
        <w:suppressAutoHyphens/>
        <w:spacing w:line="360" w:lineRule="auto"/>
        <w:jc w:val="both"/>
        <w:rPr>
          <w:sz w:val="28"/>
          <w:szCs w:val="28"/>
        </w:rPr>
      </w:pP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Завдання :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1. Проаналізувати значенні квартальних обсягів випуску продукції на основі моделі з адитивною компонентою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2. Розрахувати середнє абсолютне відхилення (</w:t>
      </w:r>
      <w:r w:rsidRPr="000E300A">
        <w:rPr>
          <w:sz w:val="28"/>
          <w:szCs w:val="28"/>
          <w:lang w:val="en-US"/>
        </w:rPr>
        <w:t>MAD</w:t>
      </w:r>
      <w:r w:rsidRPr="000E300A">
        <w:rPr>
          <w:sz w:val="28"/>
          <w:szCs w:val="28"/>
        </w:rPr>
        <w:t xml:space="preserve">) </w:t>
      </w:r>
      <w:r w:rsidRPr="000E300A">
        <w:rPr>
          <w:sz w:val="28"/>
          <w:szCs w:val="28"/>
          <w:lang w:val="uk-UA"/>
        </w:rPr>
        <w:t xml:space="preserve">і середньоквадратичну помилку </w:t>
      </w:r>
      <w:r w:rsidRPr="000E300A">
        <w:rPr>
          <w:sz w:val="28"/>
          <w:szCs w:val="28"/>
        </w:rPr>
        <w:t>(</w:t>
      </w:r>
      <w:r w:rsidRPr="000E300A">
        <w:rPr>
          <w:sz w:val="28"/>
          <w:szCs w:val="28"/>
          <w:lang w:val="en-US"/>
        </w:rPr>
        <w:t>MSE</w:t>
      </w:r>
      <w:r w:rsidRPr="000E300A">
        <w:rPr>
          <w:sz w:val="28"/>
          <w:szCs w:val="28"/>
        </w:rPr>
        <w:t>) для ц</w:t>
      </w:r>
      <w:r w:rsidRPr="000E300A">
        <w:rPr>
          <w:sz w:val="28"/>
          <w:szCs w:val="28"/>
          <w:lang w:val="uk-UA"/>
        </w:rPr>
        <w:t>ієї моделі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3. Зробити прогноз на найближчі три квартали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Рішення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0E300A">
        <w:rPr>
          <w:sz w:val="28"/>
          <w:szCs w:val="28"/>
          <w:lang w:val="uk-UA"/>
        </w:rPr>
        <w:t>1. На рис.1 наведений графік попереднього аналізу виду динамічного хронологічного ряду</w:t>
      </w:r>
      <w:r w:rsidR="008F1E80">
        <w:rPr>
          <w:sz w:val="28"/>
          <w:szCs w:val="28"/>
          <w:lang w:val="uk-UA"/>
        </w:rPr>
        <w:t xml:space="preserve"> </w:t>
      </w:r>
      <w:r w:rsidRPr="000E300A">
        <w:rPr>
          <w:sz w:val="28"/>
          <w:szCs w:val="28"/>
          <w:lang w:val="uk-UA"/>
        </w:rPr>
        <w:t xml:space="preserve">поквартальних обсягів випуску продукції та лінійна регресійна модель ряду, розрахована автоматичною програмою „електронних таблиць” </w:t>
      </w:r>
      <w:r w:rsidRPr="000E300A">
        <w:rPr>
          <w:sz w:val="28"/>
          <w:szCs w:val="28"/>
          <w:lang w:val="en-US"/>
        </w:rPr>
        <w:t>EXCEL</w:t>
      </w:r>
      <w:r w:rsidRPr="000E300A">
        <w:rPr>
          <w:sz w:val="28"/>
          <w:szCs w:val="28"/>
        </w:rPr>
        <w:t>-2000.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</w:rPr>
        <w:t>Як видно з граф</w:t>
      </w:r>
      <w:r w:rsidRPr="000E300A">
        <w:rPr>
          <w:sz w:val="28"/>
          <w:szCs w:val="28"/>
          <w:lang w:val="uk-UA"/>
        </w:rPr>
        <w:t xml:space="preserve">іку рис.1 – хронологічний ряд має тенденцію „біржевого підвищуючогося каналу”, тобто має дві класичні </w:t>
      </w:r>
      <w:r w:rsidR="00F20410" w:rsidRPr="000E300A">
        <w:rPr>
          <w:sz w:val="28"/>
          <w:szCs w:val="28"/>
          <w:lang w:val="uk-UA"/>
        </w:rPr>
        <w:t xml:space="preserve">адитивні </w:t>
      </w:r>
      <w:r w:rsidRPr="000E300A">
        <w:rPr>
          <w:sz w:val="28"/>
          <w:szCs w:val="28"/>
          <w:lang w:val="uk-UA"/>
        </w:rPr>
        <w:t xml:space="preserve">компоненти </w:t>
      </w:r>
      <w:r w:rsidR="008469E3" w:rsidRPr="000E300A">
        <w:rPr>
          <w:sz w:val="28"/>
          <w:szCs w:val="28"/>
          <w:lang w:val="uk-UA"/>
        </w:rPr>
        <w:t>[1]</w:t>
      </w:r>
      <w:r w:rsidRPr="000E300A">
        <w:rPr>
          <w:sz w:val="28"/>
          <w:szCs w:val="28"/>
          <w:lang w:val="uk-UA"/>
        </w:rPr>
        <w:t>: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- лінійне зростання середніх значень ряду в часі;</w:t>
      </w:r>
    </w:p>
    <w:p w:rsidR="008F1E80" w:rsidRDefault="007E7EFB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- сезонну</w:t>
      </w:r>
      <w:r w:rsidR="008F1E80">
        <w:rPr>
          <w:sz w:val="28"/>
          <w:szCs w:val="28"/>
          <w:lang w:val="uk-UA"/>
        </w:rPr>
        <w:t xml:space="preserve"> </w:t>
      </w:r>
      <w:r w:rsidR="00B92E62" w:rsidRPr="000E300A">
        <w:rPr>
          <w:sz w:val="28"/>
          <w:szCs w:val="28"/>
          <w:lang w:val="uk-UA"/>
        </w:rPr>
        <w:t xml:space="preserve">поквартальну </w:t>
      </w:r>
      <w:r w:rsidR="00F20410" w:rsidRPr="000E300A">
        <w:rPr>
          <w:sz w:val="28"/>
          <w:szCs w:val="28"/>
          <w:lang w:val="uk-UA"/>
        </w:rPr>
        <w:t>„хвилю”</w:t>
      </w:r>
      <w:r w:rsidR="00B92E62" w:rsidRPr="000E300A">
        <w:rPr>
          <w:sz w:val="28"/>
          <w:szCs w:val="28"/>
          <w:lang w:val="uk-UA"/>
        </w:rPr>
        <w:t>з підвищенням розмаху в часі</w:t>
      </w:r>
      <w:r w:rsidR="00F20410" w:rsidRPr="000E300A">
        <w:rPr>
          <w:sz w:val="28"/>
          <w:szCs w:val="28"/>
          <w:lang w:val="uk-UA"/>
        </w:rPr>
        <w:t>;</w:t>
      </w:r>
    </w:p>
    <w:p w:rsidR="008F1E80" w:rsidRDefault="00F2041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2. Модель квартального обсягу випуску продукції будемо шукати у вигляді функції двох адитивних компонентів :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44578A" w:rsidP="000E300A">
      <w:pPr>
        <w:suppressAutoHyphens/>
        <w:spacing w:line="360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8.75pt;height:35.25pt">
            <v:imagedata r:id="rId6" o:title=""/>
          </v:shape>
        </w:pict>
      </w:r>
      <w:r w:rsidR="008469E3" w:rsidRPr="000E300A">
        <w:rPr>
          <w:sz w:val="28"/>
          <w:szCs w:val="28"/>
          <w:lang w:val="uk-UA"/>
        </w:rPr>
        <w:t xml:space="preserve"> </w:t>
      </w:r>
      <w:r w:rsidR="000E300A">
        <w:rPr>
          <w:sz w:val="28"/>
          <w:szCs w:val="28"/>
          <w:lang w:val="uk-UA"/>
        </w:rPr>
        <w:t>(1)</w:t>
      </w:r>
    </w:p>
    <w:p w:rsidR="008F1E80" w:rsidRDefault="00E1632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br w:type="page"/>
      </w:r>
      <w:r w:rsidR="00F20410" w:rsidRPr="000E300A">
        <w:rPr>
          <w:sz w:val="28"/>
          <w:szCs w:val="28"/>
          <w:lang w:val="uk-UA"/>
        </w:rPr>
        <w:t xml:space="preserve">Результати моделювання, виконаного в „електронних таблицях” </w:t>
      </w:r>
      <w:r w:rsidR="00F20410" w:rsidRPr="000E300A">
        <w:rPr>
          <w:sz w:val="28"/>
          <w:szCs w:val="28"/>
          <w:lang w:val="en-US"/>
        </w:rPr>
        <w:t>EXCEL</w:t>
      </w:r>
      <w:r w:rsidR="00F20410" w:rsidRPr="000E300A">
        <w:rPr>
          <w:sz w:val="28"/>
          <w:szCs w:val="28"/>
        </w:rPr>
        <w:t xml:space="preserve">-2000 методом </w:t>
      </w:r>
      <w:r w:rsidR="00F20410" w:rsidRPr="000E300A">
        <w:rPr>
          <w:sz w:val="28"/>
          <w:szCs w:val="28"/>
          <w:lang w:val="uk-UA"/>
        </w:rPr>
        <w:t>і</w:t>
      </w:r>
      <w:r w:rsidR="00F20410" w:rsidRPr="000E300A">
        <w:rPr>
          <w:sz w:val="28"/>
          <w:szCs w:val="28"/>
        </w:rPr>
        <w:t>нтерактивного</w:t>
      </w:r>
      <w:r w:rsidR="00F20410" w:rsidRPr="000E300A">
        <w:rPr>
          <w:sz w:val="28"/>
          <w:szCs w:val="28"/>
          <w:lang w:val="uk-UA"/>
        </w:rPr>
        <w:t xml:space="preserve"> программування та візуального і статистичного аналізу , наведені в табл.1 та на рис.2.</w:t>
      </w:r>
    </w:p>
    <w:p w:rsidR="008F1E80" w:rsidRDefault="00F2041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Статистичний аналіз відповідності моделі та фактичних значень хронологічного ряду виконувався за мінімізацією двох показників :</w:t>
      </w:r>
      <w:r w:rsidR="008469E3" w:rsidRPr="000E300A">
        <w:rPr>
          <w:sz w:val="28"/>
          <w:szCs w:val="28"/>
          <w:lang w:val="uk-UA"/>
        </w:rPr>
        <w:t xml:space="preserve"> </w:t>
      </w:r>
    </w:p>
    <w:p w:rsidR="008F1E80" w:rsidRDefault="008469E3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а)</w:t>
      </w:r>
      <w:r w:rsidR="000E300A">
        <w:rPr>
          <w:sz w:val="28"/>
          <w:szCs w:val="28"/>
          <w:lang w:val="uk-UA"/>
        </w:rPr>
        <w:t xml:space="preserve"> </w:t>
      </w:r>
      <w:r w:rsidRPr="000E300A">
        <w:rPr>
          <w:sz w:val="28"/>
          <w:szCs w:val="28"/>
          <w:lang w:val="uk-UA"/>
        </w:rPr>
        <w:t>Середнє лінійне відхилення модельних даних від фактичних даних обчислюється як частка від ділення суми всіх відхилень на їх число[1]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44578A" w:rsidP="000E300A">
      <w:pPr>
        <w:suppressAutoHyphens/>
        <w:spacing w:line="360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26" type="#_x0000_t75" style="width:102.75pt;height:51.75pt" fillcolor="window">
            <v:imagedata r:id="rId7" o:title=""/>
          </v:shape>
        </w:pict>
      </w:r>
      <w:r w:rsidR="000E300A" w:rsidRPr="00E16320">
        <w:rPr>
          <w:sz w:val="28"/>
          <w:szCs w:val="28"/>
          <w:lang w:val="uk-UA"/>
        </w:rPr>
        <w:t xml:space="preserve"> </w:t>
      </w:r>
      <w:r w:rsidR="008469E3" w:rsidRPr="00E16320">
        <w:rPr>
          <w:sz w:val="28"/>
          <w:szCs w:val="28"/>
          <w:lang w:val="uk-UA"/>
        </w:rPr>
        <w:t>(</w:t>
      </w:r>
      <w:r w:rsidR="008469E3" w:rsidRPr="000E300A">
        <w:rPr>
          <w:sz w:val="28"/>
          <w:szCs w:val="28"/>
          <w:lang w:val="uk-UA"/>
        </w:rPr>
        <w:t>2</w:t>
      </w:r>
      <w:r w:rsidR="008469E3" w:rsidRPr="00E16320">
        <w:rPr>
          <w:sz w:val="28"/>
          <w:szCs w:val="28"/>
          <w:lang w:val="uk-UA"/>
        </w:rPr>
        <w:t>)</w:t>
      </w:r>
    </w:p>
    <w:p w:rsidR="008F1E80" w:rsidRDefault="008F1E80" w:rsidP="000E300A">
      <w:pPr>
        <w:suppressAutoHyphens/>
        <w:spacing w:line="360" w:lineRule="auto"/>
        <w:jc w:val="center"/>
        <w:rPr>
          <w:sz w:val="28"/>
          <w:szCs w:val="28"/>
          <w:lang w:val="uk-UA"/>
        </w:rPr>
      </w:pPr>
    </w:p>
    <w:p w:rsidR="008F1E80" w:rsidRDefault="008469E3" w:rsidP="000E300A">
      <w:pPr>
        <w:pStyle w:val="3"/>
        <w:suppressAutoHyphens/>
        <w:spacing w:line="360" w:lineRule="auto"/>
        <w:ind w:firstLine="709"/>
      </w:pPr>
      <w:r w:rsidRPr="000E300A">
        <w:t>б) Корінь квадратний із середнього квадрату відхилень варіантів від їх середньої (тобто дисперсії) називається середнім квадратичним відхиленням:</w:t>
      </w:r>
    </w:p>
    <w:p w:rsidR="008F1E80" w:rsidRDefault="008F1E80" w:rsidP="000E300A">
      <w:pPr>
        <w:pStyle w:val="3"/>
        <w:suppressAutoHyphens/>
        <w:spacing w:line="360" w:lineRule="auto"/>
        <w:ind w:firstLine="709"/>
      </w:pPr>
    </w:p>
    <w:p w:rsidR="008F1E80" w:rsidRDefault="0044578A" w:rsidP="000E300A">
      <w:pPr>
        <w:suppressAutoHyphens/>
        <w:spacing w:line="360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pict>
          <v:shape id="_x0000_i1027" type="#_x0000_t75" style="width:120.75pt;height:54.75pt" fillcolor="window">
            <v:imagedata r:id="rId8" o:title=""/>
          </v:shape>
        </w:pict>
      </w:r>
      <w:r w:rsidR="008469E3" w:rsidRPr="008F1E80">
        <w:rPr>
          <w:sz w:val="28"/>
          <w:szCs w:val="28"/>
          <w:lang w:val="uk-UA"/>
        </w:rPr>
        <w:t xml:space="preserve"> (</w:t>
      </w:r>
      <w:r w:rsidR="008469E3" w:rsidRPr="000E300A">
        <w:rPr>
          <w:sz w:val="28"/>
          <w:szCs w:val="28"/>
          <w:lang w:val="uk-UA"/>
        </w:rPr>
        <w:t>3</w:t>
      </w:r>
      <w:r w:rsidR="008469E3" w:rsidRPr="008F1E80">
        <w:rPr>
          <w:sz w:val="28"/>
          <w:szCs w:val="28"/>
          <w:lang w:val="uk-UA"/>
        </w:rPr>
        <w:t>)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469E3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  <w:lang w:val="uk-UA"/>
        </w:rPr>
        <w:t>Як видно з результатів розрахунків(табл.1) та графіків Рис.2 мінімізація значень середнього лінійного відхилення та середньоквадратичного відхилення модельних значень від фактичних відповідає рівнянню моделю :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44578A" w:rsidP="00CF6BA3">
      <w:pPr>
        <w:suppressAutoHyphens/>
        <w:spacing w:line="360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pict>
          <v:shape id="_x0000_i1028" type="#_x0000_t75" style="width:4in;height:35.25pt">
            <v:imagedata r:id="rId9" o:title=""/>
          </v:shape>
        </w:pict>
      </w:r>
      <w:r w:rsidR="008469E3" w:rsidRPr="00CF6BA3">
        <w:rPr>
          <w:sz w:val="28"/>
          <w:szCs w:val="28"/>
          <w:lang w:val="uk-UA"/>
        </w:rPr>
        <w:t xml:space="preserve"> (4)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8469E3" w:rsidP="000E300A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0E300A">
        <w:rPr>
          <w:sz w:val="28"/>
          <w:szCs w:val="28"/>
          <w:lang w:val="uk-UA"/>
        </w:rPr>
        <w:t xml:space="preserve">де </w:t>
      </w:r>
      <w:r w:rsidRPr="000E300A">
        <w:rPr>
          <w:sz w:val="28"/>
          <w:szCs w:val="28"/>
          <w:lang w:val="en-US"/>
        </w:rPr>
        <w:t>t</w:t>
      </w:r>
      <w:r w:rsidRPr="000E300A">
        <w:rPr>
          <w:sz w:val="28"/>
          <w:szCs w:val="28"/>
        </w:rPr>
        <w:t xml:space="preserve"> </w:t>
      </w:r>
      <w:r w:rsidR="00DE5261" w:rsidRPr="000E300A">
        <w:rPr>
          <w:sz w:val="28"/>
          <w:szCs w:val="28"/>
        </w:rPr>
        <w:t>–</w:t>
      </w:r>
      <w:r w:rsidRPr="000E300A">
        <w:rPr>
          <w:sz w:val="28"/>
          <w:szCs w:val="28"/>
        </w:rPr>
        <w:t xml:space="preserve"> </w:t>
      </w:r>
      <w:r w:rsidR="00DE5261" w:rsidRPr="000E300A">
        <w:rPr>
          <w:sz w:val="28"/>
          <w:szCs w:val="28"/>
        </w:rPr>
        <w:t>шкала часу в кварталах</w:t>
      </w:r>
    </w:p>
    <w:p w:rsidR="008F1E80" w:rsidRDefault="00DE5261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0E300A">
        <w:rPr>
          <w:sz w:val="28"/>
          <w:szCs w:val="28"/>
        </w:rPr>
        <w:t>На рис.2 та в табл.1 наведен</w:t>
      </w:r>
      <w:r w:rsidRPr="000E300A">
        <w:rPr>
          <w:sz w:val="28"/>
          <w:szCs w:val="28"/>
          <w:lang w:val="uk-UA"/>
        </w:rPr>
        <w:t>і результати моделювання – прогнозу випуску продукції фірмою на наступні три квартали.</w:t>
      </w:r>
      <w:r w:rsidR="008469E3" w:rsidRPr="000E300A">
        <w:rPr>
          <w:sz w:val="28"/>
          <w:szCs w:val="28"/>
          <w:lang w:val="uk-UA"/>
        </w:rPr>
        <w:t xml:space="preserve"> 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F1E80" w:rsidRDefault="00E16320" w:rsidP="00CF6BA3">
      <w:pPr>
        <w:suppressAutoHyphens/>
        <w:spacing w:line="360" w:lineRule="auto"/>
        <w:ind w:firstLine="709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EA4B0E" w:rsidRPr="00CF6BA3">
        <w:rPr>
          <w:sz w:val="28"/>
          <w:szCs w:val="28"/>
          <w:lang w:val="uk-UA"/>
        </w:rPr>
        <w:t>Таблиця 1</w:t>
      </w:r>
    </w:p>
    <w:p w:rsidR="008F1E80" w:rsidRDefault="00EA4B0E" w:rsidP="00CF6BA3">
      <w:pPr>
        <w:suppressAutoHyphens/>
        <w:spacing w:line="360" w:lineRule="auto"/>
        <w:jc w:val="center"/>
        <w:rPr>
          <w:sz w:val="28"/>
          <w:szCs w:val="28"/>
        </w:rPr>
      </w:pPr>
      <w:r w:rsidRPr="00CF6BA3">
        <w:rPr>
          <w:b/>
          <w:bCs/>
          <w:sz w:val="28"/>
          <w:szCs w:val="28"/>
          <w:lang w:val="uk-UA"/>
        </w:rPr>
        <w:t>Результати розрахунків по побудові моделі поквартального випуску продукції компанії</w:t>
      </w:r>
    </w:p>
    <w:p w:rsidR="008F1E80" w:rsidRDefault="0044578A" w:rsidP="00CF6BA3">
      <w:pPr>
        <w:suppressAutoHyphens/>
        <w:spacing w:line="360" w:lineRule="auto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i1029" type="#_x0000_t75" style="width:459.75pt;height:285.75pt">
            <v:imagedata r:id="rId10" o:title=""/>
          </v:shape>
        </w:pict>
      </w:r>
    </w:p>
    <w:p w:rsidR="008F1E80" w:rsidRDefault="008F1E80" w:rsidP="00CF6BA3">
      <w:pPr>
        <w:suppressAutoHyphens/>
        <w:spacing w:line="360" w:lineRule="auto"/>
        <w:jc w:val="center"/>
        <w:rPr>
          <w:sz w:val="28"/>
          <w:szCs w:val="28"/>
          <w:lang w:val="en-US"/>
        </w:rPr>
      </w:pPr>
    </w:p>
    <w:p w:rsidR="008F1E80" w:rsidRDefault="0044578A" w:rsidP="00E0077D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30" type="#_x0000_t75" style="width:467.25pt;height:288.75pt">
            <v:imagedata r:id="rId11" o:title=""/>
          </v:shape>
        </w:pict>
      </w:r>
      <w:r w:rsidR="000F6616" w:rsidRPr="00E0077D">
        <w:rPr>
          <w:b/>
          <w:bCs/>
          <w:sz w:val="28"/>
          <w:szCs w:val="28"/>
          <w:lang w:val="uk-UA"/>
        </w:rPr>
        <w:t xml:space="preserve">Рис. 1 Попередній аналіз динаміки фактичного поквартального обсягу продукції (стандартний регресійний аналіз в таблицях </w:t>
      </w:r>
      <w:r w:rsidR="000F6616" w:rsidRPr="00E0077D">
        <w:rPr>
          <w:b/>
          <w:bCs/>
          <w:sz w:val="28"/>
          <w:szCs w:val="28"/>
          <w:lang w:val="en-US"/>
        </w:rPr>
        <w:t>EXCEL</w:t>
      </w:r>
      <w:r w:rsidR="000F6616" w:rsidRPr="00E0077D">
        <w:rPr>
          <w:b/>
          <w:bCs/>
          <w:sz w:val="28"/>
          <w:szCs w:val="28"/>
        </w:rPr>
        <w:t>-2000</w:t>
      </w:r>
      <w:r w:rsidR="000F6616" w:rsidRPr="00E0077D">
        <w:rPr>
          <w:b/>
          <w:bCs/>
          <w:sz w:val="28"/>
          <w:szCs w:val="28"/>
          <w:lang w:val="uk-UA"/>
        </w:rPr>
        <w:t>)</w:t>
      </w:r>
    </w:p>
    <w:p w:rsidR="008F1E80" w:rsidRDefault="0044578A" w:rsidP="008F1E80">
      <w:pPr>
        <w:suppressAutoHyphens/>
        <w:spacing w:line="360" w:lineRule="auto"/>
        <w:jc w:val="center"/>
        <w:rPr>
          <w:b/>
          <w:bCs/>
          <w:sz w:val="28"/>
          <w:szCs w:val="28"/>
          <w:lang w:val="uk-UA"/>
        </w:rPr>
      </w:pPr>
      <w:r>
        <w:rPr>
          <w:sz w:val="28"/>
          <w:szCs w:val="28"/>
        </w:rPr>
        <w:pict>
          <v:shape id="_x0000_i1031" type="#_x0000_t75" style="width:468pt;height:351pt">
            <v:imagedata r:id="rId12" o:title=""/>
          </v:shape>
        </w:pict>
      </w:r>
      <w:r w:rsidR="0052658B" w:rsidRPr="00675577">
        <w:rPr>
          <w:b/>
          <w:bCs/>
          <w:sz w:val="28"/>
          <w:szCs w:val="28"/>
          <w:lang w:val="uk-UA"/>
        </w:rPr>
        <w:t>Рис. 2 Нелінійна сезонно-прогресивна модель з активними компонентами динаміки розвитку підприємства (підвищувальний тренд) в часі</w:t>
      </w:r>
      <w:r w:rsidR="00675577" w:rsidRPr="00675577">
        <w:rPr>
          <w:b/>
          <w:bCs/>
          <w:sz w:val="28"/>
          <w:szCs w:val="28"/>
          <w:lang w:val="uk-UA"/>
        </w:rPr>
        <w:t xml:space="preserve"> </w:t>
      </w:r>
      <w:r w:rsidR="0052658B" w:rsidRPr="00675577">
        <w:rPr>
          <w:b/>
          <w:bCs/>
          <w:sz w:val="28"/>
          <w:szCs w:val="28"/>
          <w:lang w:val="uk-UA"/>
        </w:rPr>
        <w:t>та прогноз на 3 квартали вперед (12-14)</w:t>
      </w:r>
    </w:p>
    <w:p w:rsidR="008F1E80" w:rsidRDefault="008F1E80" w:rsidP="0052658B">
      <w:pPr>
        <w:suppressAutoHyphens/>
        <w:spacing w:line="360" w:lineRule="auto"/>
        <w:jc w:val="both"/>
        <w:rPr>
          <w:sz w:val="28"/>
          <w:szCs w:val="28"/>
          <w:lang w:val="uk-UA"/>
        </w:rPr>
      </w:pPr>
    </w:p>
    <w:p w:rsidR="008F1E80" w:rsidRDefault="008F1E80" w:rsidP="0052658B">
      <w:pPr>
        <w:suppressAutoHyphens/>
        <w:spacing w:line="360" w:lineRule="auto"/>
        <w:jc w:val="both"/>
        <w:rPr>
          <w:sz w:val="28"/>
          <w:szCs w:val="28"/>
          <w:lang w:val="uk-UA"/>
        </w:rPr>
      </w:pPr>
    </w:p>
    <w:p w:rsidR="00EA4B0E" w:rsidRPr="000E300A" w:rsidRDefault="00EA4B0E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  <w:sectPr w:rsidR="00EA4B0E" w:rsidRPr="000E300A" w:rsidSect="00675577">
          <w:headerReference w:type="default" r:id="rId13"/>
          <w:headerReference w:type="first" r:id="rId14"/>
          <w:pgSz w:w="11906" w:h="16838"/>
          <w:pgMar w:top="1134" w:right="851" w:bottom="1134" w:left="1701" w:header="720" w:footer="720" w:gutter="0"/>
          <w:cols w:space="708"/>
          <w:titlePg/>
          <w:docGrid w:linePitch="360"/>
        </w:sectPr>
      </w:pPr>
    </w:p>
    <w:p w:rsidR="008F1E80" w:rsidRDefault="00E0077D" w:rsidP="00E0077D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  <w:r w:rsidRPr="00E0077D">
        <w:rPr>
          <w:b/>
          <w:bCs/>
          <w:sz w:val="28"/>
          <w:szCs w:val="28"/>
          <w:lang w:val="uk-UA"/>
        </w:rPr>
        <w:t>Перелік літератури</w:t>
      </w:r>
    </w:p>
    <w:p w:rsidR="008F1E80" w:rsidRDefault="008F1E80" w:rsidP="000E300A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DE5261" w:rsidRPr="00E0077D" w:rsidRDefault="00DE5261" w:rsidP="00E0077D">
      <w:pPr>
        <w:pStyle w:val="a3"/>
        <w:tabs>
          <w:tab w:val="num" w:pos="0"/>
        </w:tabs>
        <w:suppressAutoHyphens/>
        <w:spacing w:line="360" w:lineRule="auto"/>
        <w:jc w:val="both"/>
        <w:rPr>
          <w:sz w:val="28"/>
          <w:szCs w:val="28"/>
        </w:rPr>
      </w:pPr>
      <w:r w:rsidRPr="00E0077D">
        <w:rPr>
          <w:sz w:val="28"/>
          <w:szCs w:val="28"/>
          <w:lang w:val="uk-UA"/>
        </w:rPr>
        <w:t>1.</w:t>
      </w:r>
      <w:r w:rsidRPr="00E0077D">
        <w:rPr>
          <w:sz w:val="28"/>
          <w:szCs w:val="28"/>
        </w:rPr>
        <w:t xml:space="preserve"> Ефимова М.Р., Ганченко О.И., Петрова Е.В. Практикум по общей теории</w:t>
      </w:r>
      <w:r w:rsidR="008F1E80">
        <w:rPr>
          <w:sz w:val="28"/>
          <w:szCs w:val="28"/>
        </w:rPr>
        <w:t xml:space="preserve"> </w:t>
      </w:r>
      <w:r w:rsidRPr="00E0077D">
        <w:rPr>
          <w:sz w:val="28"/>
          <w:szCs w:val="28"/>
        </w:rPr>
        <w:t>статистики: Учебное пособие. – Москва: Финансы и статистика, 2000.</w:t>
      </w:r>
      <w:bookmarkStart w:id="0" w:name="_GoBack"/>
      <w:bookmarkEnd w:id="0"/>
    </w:p>
    <w:sectPr w:rsidR="00DE5261" w:rsidRPr="00E0077D" w:rsidSect="000E300A"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7B9" w:rsidRDefault="008977B9">
      <w:r>
        <w:separator/>
      </w:r>
    </w:p>
  </w:endnote>
  <w:endnote w:type="continuationSeparator" w:id="0">
    <w:p w:rsidR="008977B9" w:rsidRDefault="00897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7B9" w:rsidRDefault="008977B9">
      <w:r>
        <w:separator/>
      </w:r>
    </w:p>
  </w:footnote>
  <w:footnote w:type="continuationSeparator" w:id="0">
    <w:p w:rsidR="008977B9" w:rsidRDefault="00897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2E62" w:rsidRDefault="00B92E62" w:rsidP="00DE5261">
    <w:pPr>
      <w:pStyle w:val="a3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75C" w:rsidRDefault="006B67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290D"/>
    <w:rsid w:val="000952A4"/>
    <w:rsid w:val="000E300A"/>
    <w:rsid w:val="000F6616"/>
    <w:rsid w:val="0012290D"/>
    <w:rsid w:val="002918F1"/>
    <w:rsid w:val="002C4CBB"/>
    <w:rsid w:val="00305235"/>
    <w:rsid w:val="00373793"/>
    <w:rsid w:val="0044578A"/>
    <w:rsid w:val="0052658B"/>
    <w:rsid w:val="00554954"/>
    <w:rsid w:val="00675577"/>
    <w:rsid w:val="00694E8D"/>
    <w:rsid w:val="006B675C"/>
    <w:rsid w:val="007E7EFB"/>
    <w:rsid w:val="008469E3"/>
    <w:rsid w:val="008977B9"/>
    <w:rsid w:val="008F1E80"/>
    <w:rsid w:val="009A0357"/>
    <w:rsid w:val="00B92E62"/>
    <w:rsid w:val="00CB0D03"/>
    <w:rsid w:val="00CF6BA3"/>
    <w:rsid w:val="00DE5261"/>
    <w:rsid w:val="00E0077D"/>
    <w:rsid w:val="00E16320"/>
    <w:rsid w:val="00EA4B0E"/>
    <w:rsid w:val="00F20410"/>
    <w:rsid w:val="00F3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75B226F1-20A9-41DE-98FC-70C41C7D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8469E3"/>
    <w:pPr>
      <w:numPr>
        <w:ilvl w:val="12"/>
      </w:numPr>
      <w:jc w:val="both"/>
    </w:pPr>
    <w:rPr>
      <w:sz w:val="28"/>
      <w:szCs w:val="28"/>
      <w:lang w:val="uk-UA"/>
    </w:rPr>
  </w:style>
  <w:style w:type="character" w:customStyle="1" w:styleId="30">
    <w:name w:val="Основний текст 3 Знак"/>
    <w:link w:val="3"/>
    <w:uiPriority w:val="99"/>
    <w:semiHidden/>
    <w:locked/>
    <w:rPr>
      <w:rFonts w:cs="Times New Roman"/>
      <w:sz w:val="16"/>
      <w:szCs w:val="16"/>
    </w:rPr>
  </w:style>
  <w:style w:type="paragraph" w:styleId="a3">
    <w:name w:val="header"/>
    <w:basedOn w:val="a"/>
    <w:link w:val="a4"/>
    <w:uiPriority w:val="99"/>
    <w:rsid w:val="00DE5261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DE5261"/>
    <w:pPr>
      <w:tabs>
        <w:tab w:val="center" w:pos="4677"/>
        <w:tab w:val="right" w:pos="9355"/>
      </w:tabs>
    </w:pPr>
  </w:style>
  <w:style w:type="character" w:customStyle="1" w:styleId="a6">
    <w:name w:val="Нижні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DE526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Таблиця 1</vt:lpstr>
    </vt:vector>
  </TitlesOfParts>
  <Company>Taxsecret</Company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Таблиця 1</dc:title>
  <dc:subject/>
  <dc:creator>Bondarenko S.V.</dc:creator>
  <cp:keywords/>
  <dc:description/>
  <cp:lastModifiedBy>Irina</cp:lastModifiedBy>
  <cp:revision>2</cp:revision>
  <dcterms:created xsi:type="dcterms:W3CDTF">2014-08-09T05:00:00Z</dcterms:created>
  <dcterms:modified xsi:type="dcterms:W3CDTF">2014-08-09T05:00:00Z</dcterms:modified>
</cp:coreProperties>
</file>