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3A0" w:rsidRDefault="000873A0" w:rsidP="000873A0">
      <w:pPr>
        <w:ind w:firstLine="0"/>
        <w:jc w:val="left"/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  <w:lang w:val="ru-RU"/>
        </w:rPr>
        <w:t>Научные ресурсы мира.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 xml:space="preserve">Научные ресурсы определяются возможностями той или иной страны осуществлять у себя научно-исследовательские и опытно-конструкторские работы (НИОКР). 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На научно-технический потенциал страны, его состояние и тенденции развития влияют две группы факторов. Первую группу составляют количественные факторы – наличие в стране подготовленных научных исследователей, материально-техническое обеспечение НИОКР и научное обслуживание финансовых ресурсов. Вторая группа факторов (качественные) включает систему организации НИОКР, приоритеты научных разработок, уровень развития такой отрасли, как научное обслуживание.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u w:val="single"/>
          <w:lang w:val="ru-RU"/>
        </w:rPr>
        <w:t>Важнейший показатель, характеризующий научные ресурсы стран и групп стран: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1. доля расходов на НИОКР в ВВП.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2. доля бюджетных ассигнований на НИОКРв общих расходах государства.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3. численность специалистов, занятых в науке.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4. количество международных премий за выдающиеся научные достижения.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5. частота ссылок в научных трудах на работы исследователей из данной страны.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6. доля наукоемкой продукции в ВВП и промышленной продукции.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7. доля данной страны на мировом рынке высоких технологий.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u w:val="single"/>
          <w:lang w:val="ru-RU"/>
        </w:rPr>
        <w:t xml:space="preserve">Между уровнем развития страны и долей ее расходов на науку жесткой зависимости не существует. В целом развитые страны расходуют на </w:t>
      </w:r>
      <w:r>
        <w:rPr>
          <w:sz w:val="16"/>
          <w:szCs w:val="16"/>
          <w:lang w:val="ru-RU"/>
        </w:rPr>
        <w:t xml:space="preserve">НИОКР относительно больше финансовых ресурсов, чем развивающиеся государства, а крупные промышленные страны тратят на науку больше средств, чем малые. Но многое зависит от исторически сложившихся условий данной страны. В ряде стран решающую роль в финансировании НИОКР играют частные фирмы. 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 xml:space="preserve">Для российской науки до середины 90-х годов была характерна централизованная система финансирования (доля государственных расходов составляла 93% расходов). Однако объем бюджетных ассигнований во второй половине 90-х годов резко сократился, и в результате доля бюджетных средств составила 60,2%. 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u w:val="single"/>
          <w:lang w:val="ru-RU"/>
        </w:rPr>
        <w:t>Экономическую эффективность</w:t>
      </w:r>
      <w:r>
        <w:rPr>
          <w:sz w:val="16"/>
          <w:szCs w:val="16"/>
          <w:lang w:val="ru-RU"/>
        </w:rPr>
        <w:t xml:space="preserve"> научно-технической сферы можно определить как отношение прироста выпуска наукоемкой продукции к расходам на НИОКР. Другой важный показатель – число ежегодно выдаваемых авторских свидетельств на изобретения, или патентов. Немалую роль для оценки достижений играют Нобелевские премии по различным направлениям исследований. 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 xml:space="preserve">Научные ресурсы мировой экономики </w:t>
      </w:r>
      <w:r>
        <w:rPr>
          <w:sz w:val="16"/>
          <w:szCs w:val="16"/>
          <w:u w:val="single"/>
          <w:lang w:val="ru-RU"/>
        </w:rPr>
        <w:t>сосредоточены в небольшом числе стран.</w:t>
      </w:r>
      <w:r>
        <w:rPr>
          <w:sz w:val="16"/>
          <w:szCs w:val="16"/>
          <w:lang w:val="ru-RU"/>
        </w:rPr>
        <w:t xml:space="preserve"> На долю США приходится около половины всех выделяемых на НИОКР финансовых ресурсов. Среди остальных центров следует отметить находящиеся в Западной Европе, Японии и России. 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 xml:space="preserve">Малые развитые страны (Швеция, Швейцария, Нидерланды и др.) входят в число лидеров лишь по отдельным, сравнительно узким направлениям научно-технического прогресса, при этом в кооперации с фирмами других стран. Некоторые новые развитые страны (Корея) и ключевые развивающиеся страны (Индия) прорываются на отдельных направлениях в число лидирующих. </w:t>
      </w:r>
    </w:p>
    <w:p w:rsidR="000873A0" w:rsidRDefault="000873A0" w:rsidP="000873A0">
      <w:pPr>
        <w:pStyle w:val="21"/>
        <w:ind w:firstLine="0"/>
        <w:jc w:val="left"/>
        <w:rPr>
          <w:sz w:val="16"/>
          <w:szCs w:val="16"/>
        </w:rPr>
      </w:pPr>
      <w:r>
        <w:rPr>
          <w:sz w:val="16"/>
          <w:szCs w:val="16"/>
        </w:rPr>
        <w:t>Во второй половине 20-ого века произошло расширение технологического обмена. Международный технологический обмен может производиться:</w:t>
      </w:r>
    </w:p>
    <w:p w:rsidR="000873A0" w:rsidRDefault="000873A0" w:rsidP="000873A0">
      <w:pPr>
        <w:ind w:left="720"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1. на некоммерческой основе (публикации, конференции, симпозиумы, миграции ученых).</w:t>
      </w:r>
    </w:p>
    <w:p w:rsidR="000873A0" w:rsidRDefault="000873A0" w:rsidP="000873A0">
      <w:pPr>
        <w:pStyle w:val="2"/>
        <w:ind w:firstLine="0"/>
        <w:jc w:val="left"/>
        <w:rPr>
          <w:sz w:val="16"/>
          <w:szCs w:val="16"/>
        </w:rPr>
      </w:pPr>
      <w:r>
        <w:rPr>
          <w:sz w:val="16"/>
          <w:szCs w:val="16"/>
        </w:rPr>
        <w:t>2. на коммерческой основе (передача на условиях лицензионных соглашений прав пользованием изобретением).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 xml:space="preserve">Передача производится двум главным группам покупателей: зарубежным филиалам и независимым фирмам. Новые технологии передаются преимущественно ТНК своим филиалам или дочерним фирмам. Независимым фирмам чаще всего передают технологии отраслей, не относящихся к числу наукоемких. </w:t>
      </w:r>
    </w:p>
    <w:p w:rsidR="000873A0" w:rsidRDefault="000873A0" w:rsidP="000873A0">
      <w:pPr>
        <w:pStyle w:val="3"/>
        <w:ind w:firstLine="0"/>
        <w:jc w:val="left"/>
        <w:rPr>
          <w:sz w:val="16"/>
          <w:szCs w:val="16"/>
        </w:rPr>
      </w:pPr>
      <w:r>
        <w:rPr>
          <w:sz w:val="16"/>
          <w:szCs w:val="16"/>
        </w:rPr>
        <w:t xml:space="preserve">Крупнейший в мире экспортер технологий – США. Положительное сальдо в торговле лицензиями имеют Великобритания и Швейцария. Япония была крупнейшим в мире потребителем научно-технических достижений, и в настоящее время все еще больше платит за иностранные технологии, чем получает за свой экспорт. Аргентина, Бразилия, Мексика, Индия, Турция целенаправленно осуществляют закупку технологий, а экспортируют лицензии в небольшом объеме в соседние государства. Россия тоже импортирует технологии в гораздо большем объеме, чем экспортирует. </w:t>
      </w:r>
    </w:p>
    <w:p w:rsidR="000873A0" w:rsidRDefault="000873A0" w:rsidP="000873A0">
      <w:pPr>
        <w:ind w:firstLine="0"/>
        <w:jc w:val="left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 xml:space="preserve">Весь мировой рынок высокотехнологичной продукции условно делится на 50 макротехнологий. США контролируют мировой рынок по 22 макротехнологиям, Германия – по 11, Япония – по 7. Общий объем продаж продукции на международном рынке составляет 2,3 трлн долл. </w:t>
      </w:r>
      <w:bookmarkStart w:id="0" w:name="_GoBack"/>
      <w:bookmarkEnd w:id="0"/>
    </w:p>
    <w:sectPr w:rsidR="000873A0">
      <w:pgSz w:w="11906" w:h="16838"/>
      <w:pgMar w:top="1418" w:right="1134" w:bottom="1134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usePrinterMetric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873A0"/>
    <w:rsid w:val="000873A0"/>
    <w:rsid w:val="003455A9"/>
    <w:rsid w:val="00462530"/>
    <w:rsid w:val="005D7728"/>
    <w:rsid w:val="00C1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A03562A-B03A-4921-9F65-4FD7C529D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  <w:ind w:firstLine="720"/>
      <w:jc w:val="both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pPr>
      <w:ind w:firstLine="540"/>
    </w:pPr>
    <w:rPr>
      <w:lang w:val="ru-RU"/>
    </w:rPr>
  </w:style>
  <w:style w:type="character" w:customStyle="1" w:styleId="20">
    <w:name w:val="Основной текст 2 Знак"/>
    <w:link w:val="2"/>
    <w:uiPriority w:val="99"/>
    <w:semiHidden/>
    <w:rPr>
      <w:sz w:val="20"/>
      <w:szCs w:val="20"/>
      <w:lang w:val="en-US"/>
    </w:rPr>
  </w:style>
  <w:style w:type="paragraph" w:styleId="21">
    <w:name w:val="Body Text Indent 2"/>
    <w:basedOn w:val="a"/>
    <w:link w:val="22"/>
    <w:uiPriority w:val="99"/>
    <w:rPr>
      <w:sz w:val="24"/>
      <w:szCs w:val="24"/>
      <w:lang w:val="ru-RU"/>
    </w:rPr>
  </w:style>
  <w:style w:type="character" w:customStyle="1" w:styleId="22">
    <w:name w:val="Основной текст с отступом 2 Знак"/>
    <w:link w:val="21"/>
    <w:uiPriority w:val="99"/>
    <w:semiHidden/>
    <w:rPr>
      <w:sz w:val="20"/>
      <w:szCs w:val="20"/>
      <w:lang w:val="en-US"/>
    </w:rPr>
  </w:style>
  <w:style w:type="paragraph" w:styleId="3">
    <w:name w:val="Body Text Indent 3"/>
    <w:basedOn w:val="a"/>
    <w:link w:val="30"/>
    <w:uiPriority w:val="99"/>
    <w:rPr>
      <w:sz w:val="22"/>
      <w:szCs w:val="22"/>
      <w:lang w:val="ru-RU"/>
    </w:rPr>
  </w:style>
  <w:style w:type="character" w:customStyle="1" w:styleId="30">
    <w:name w:val="Основной текст с отступом 3 Знак"/>
    <w:link w:val="3"/>
    <w:uiPriority w:val="99"/>
    <w:semiHidden/>
    <w:rPr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623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4</vt:lpstr>
    </vt:vector>
  </TitlesOfParts>
  <Company>At home</Company>
  <LinksUpToDate>false</LinksUpToDate>
  <CharactersWithSpaces>4172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</dc:title>
  <dc:subject/>
  <dc:creator>Crush'</dc:creator>
  <cp:keywords/>
  <dc:description/>
  <cp:lastModifiedBy>admin</cp:lastModifiedBy>
  <cp:revision>2</cp:revision>
  <dcterms:created xsi:type="dcterms:W3CDTF">2014-02-17T21:53:00Z</dcterms:created>
  <dcterms:modified xsi:type="dcterms:W3CDTF">2014-02-17T21:53:00Z</dcterms:modified>
</cp:coreProperties>
</file>