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35ED0" w:rsidRDefault="00043C31">
      <w:pPr>
        <w:pStyle w:val="Mystyle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СИСТЕМА ТЕСТОВ ПО ОЦЕНКЕ  РИСКА</w:t>
      </w:r>
    </w:p>
    <w:p w:rsidR="00435ED0" w:rsidRDefault="00435ED0">
      <w:pPr>
        <w:pStyle w:val="Mystyle"/>
      </w:pPr>
    </w:p>
    <w:p w:rsidR="00435ED0" w:rsidRDefault="00043C31">
      <w:pPr>
        <w:pStyle w:val="Mystyl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Тест 1. Оценка состояния работы предприятий и организаций по предупреждению возможного предпринимательского риска</w:t>
      </w:r>
    </w:p>
    <w:p w:rsidR="00435ED0" w:rsidRDefault="00043C31">
      <w:pPr>
        <w:pStyle w:val="Mystyle"/>
      </w:pPr>
      <w:r>
        <w:rPr>
          <w:u w:val="single"/>
        </w:rPr>
        <w:t>Задание теста.</w:t>
      </w:r>
      <w:r>
        <w:t xml:space="preserve"> Оценить полноту осуществления предприятиями и организациями комплекса предупредительных мер, обеспечивающих снижение и  достижение допустимой зоны предпринимательского риска по всем возможным формам его проявления. Такая оценка включает изучение возможного риска по хозяйственным договорам и контрактам; риска, связанного с имущественным комплексом предприятий и организаций; риска изменения конъюнктуры рынка и усиления конкуренции; риска возникновения непредвиденных потерь в процессе осуществления предпринимательской деятельности.</w:t>
      </w:r>
    </w:p>
    <w:p w:rsidR="00435ED0" w:rsidRDefault="00043C31">
      <w:pPr>
        <w:pStyle w:val="Mystyle"/>
      </w:pPr>
      <w:r>
        <w:rPr>
          <w:u w:val="single"/>
        </w:rPr>
        <w:t>Общие положения.</w:t>
      </w:r>
      <w:r>
        <w:t xml:space="preserve"> Предупреждение предпринимательского риска является важнейшим направлением экономической работы. Исключить риск полностью невозможно, но свести его к допустимым пределам необходимо. Для этого предприятиям и организациям целесообразно заблаговременно осуществить следующий комплекс предупредительных мер:</w:t>
      </w:r>
    </w:p>
    <w:p w:rsidR="00435ED0" w:rsidRDefault="00043C31">
      <w:pPr>
        <w:pStyle w:val="Mystyle"/>
      </w:pPr>
      <w:r>
        <w:t>А). По риску, связанному с подготовкой и выполнением контрактов:</w:t>
      </w:r>
    </w:p>
    <w:p w:rsidR="00435ED0" w:rsidRDefault="00043C31">
      <w:pPr>
        <w:pStyle w:val="Mystyle"/>
      </w:pPr>
      <w:r>
        <w:t>установление в протоколах о намерениях материальной ответственности сторон за отказ после их подписания  от заключения хозяйственных договоров и контрактов;</w:t>
      </w:r>
    </w:p>
    <w:p w:rsidR="00435ED0" w:rsidRDefault="00043C31">
      <w:pPr>
        <w:pStyle w:val="Mystyle"/>
      </w:pPr>
      <w:r>
        <w:t>введение в протокол о намерениях условия, ограничивающего срок подготовки сторонами окончательного варианта контракта;</w:t>
      </w:r>
    </w:p>
    <w:p w:rsidR="00435ED0" w:rsidRDefault="00043C31">
      <w:pPr>
        <w:pStyle w:val="Mystyle"/>
      </w:pPr>
      <w:r>
        <w:t>подтверждение потенциальными партнерами факта своей государственной регистрации  на момент заключения контракта;</w:t>
      </w:r>
    </w:p>
    <w:p w:rsidR="00435ED0" w:rsidRDefault="00043C31">
      <w:pPr>
        <w:pStyle w:val="Mystyle"/>
      </w:pPr>
      <w:r>
        <w:t>проверка наличия у потенциального исполнителя лицензии на право выполнять работы (выпускать продукцию, оказывать услуги), предусмотренные в контракте;</w:t>
      </w:r>
    </w:p>
    <w:p w:rsidR="00435ED0" w:rsidRDefault="00043C31">
      <w:pPr>
        <w:pStyle w:val="Mystyle"/>
      </w:pPr>
      <w:r>
        <w:t>определение на основе экономического тестирования рейтинга потенциального партнера на рынке, используя данные  бухгалтерской отчетности, не относящиеся к коммерческой тайне;</w:t>
      </w:r>
    </w:p>
    <w:p w:rsidR="00435ED0" w:rsidRDefault="00043C31">
      <w:pPr>
        <w:pStyle w:val="Mystyle"/>
      </w:pPr>
      <w:r>
        <w:t>экспресс-анализ данных паспорта потенциального партнера и оценка его экономического состояния (надежности, стабильности, устойчивости, кризисности);</w:t>
      </w:r>
    </w:p>
    <w:p w:rsidR="00435ED0" w:rsidRDefault="00043C31">
      <w:pPr>
        <w:pStyle w:val="Mystyle"/>
      </w:pPr>
      <w:r>
        <w:t>проведение  независимой экспертизы содержания  предмета и условий заключаемого контракта внешними консультантами и специалистами институтов рыночной инфраструктуры;</w:t>
      </w:r>
    </w:p>
    <w:p w:rsidR="00435ED0" w:rsidRDefault="00043C31">
      <w:pPr>
        <w:pStyle w:val="Mystyle"/>
      </w:pPr>
      <w:r>
        <w:t>указание в контракте жестких по условиям применения и значительных по размеру штрафных санкций за невыполнение сторонами  каждого пункта контракта и общей неустойки за невыполнение установленного срока завершения работ по контракту;</w:t>
      </w:r>
    </w:p>
    <w:p w:rsidR="00435ED0" w:rsidRDefault="00043C31">
      <w:pPr>
        <w:pStyle w:val="Mystyle"/>
      </w:pPr>
      <w:r>
        <w:t>использование  различных видов контрактов (серийный, стандартный, по технологическим системам, за паушальную сумму, под ключ) для более полного отражения особенностей содержания предмета контракта и экономических интересов договаривающихся сторон;</w:t>
      </w:r>
    </w:p>
    <w:p w:rsidR="00435ED0" w:rsidRDefault="00043C31">
      <w:pPr>
        <w:pStyle w:val="Mystyle"/>
      </w:pPr>
      <w:r>
        <w:t>определение в контракте перечня конкретных ситуаций, при возникновении которых стороны взаимно освобождаются от ответственности за невыполнение условий контракта;</w:t>
      </w:r>
    </w:p>
    <w:p w:rsidR="00435ED0" w:rsidRDefault="00043C31">
      <w:pPr>
        <w:pStyle w:val="Mystyle"/>
      </w:pPr>
      <w:r>
        <w:t>определение в контракте прав заказчика и исполнителя на объекты незавершенного производства (строительства) при досрочном прекращении действия заключенного контракта;</w:t>
      </w:r>
    </w:p>
    <w:p w:rsidR="00435ED0" w:rsidRDefault="00043C31">
      <w:pPr>
        <w:pStyle w:val="Mystyle"/>
      </w:pPr>
      <w:r>
        <w:t xml:space="preserve">введение в особые условия контракта обязательств сторон по периодическому предоставлению друг другу в течение срока выполнения контракта на основании данных установленной бухгалтерской отчетности информации о финансовой устойчивости своей предпринимательской деятельности; </w:t>
      </w:r>
    </w:p>
    <w:p w:rsidR="00435ED0" w:rsidRDefault="00043C31">
      <w:pPr>
        <w:pStyle w:val="Mystyle"/>
      </w:pPr>
      <w:r>
        <w:t>страхование  контракта в целом, а также отдельных его условий;</w:t>
      </w:r>
    </w:p>
    <w:p w:rsidR="00435ED0" w:rsidRDefault="00043C31">
      <w:pPr>
        <w:pStyle w:val="Mystyle"/>
      </w:pPr>
      <w:r>
        <w:t>введение в контракт специального  требования о вступлении его в силу не в момент подписания, а  после выполнения сторонами заранее согласованных предварительных условий;</w:t>
      </w:r>
    </w:p>
    <w:p w:rsidR="00435ED0" w:rsidRDefault="00043C31">
      <w:pPr>
        <w:pStyle w:val="Mystyle"/>
      </w:pPr>
      <w:r>
        <w:t>введение в контракт пунктов по обязательному осуществлению авансовых платежей, а также использование возможностей  полной предоплаты и   применение аккредитивной формы расчетов;</w:t>
      </w:r>
    </w:p>
    <w:p w:rsidR="00435ED0" w:rsidRDefault="00043C31">
      <w:pPr>
        <w:pStyle w:val="Mystyle"/>
      </w:pPr>
      <w:r>
        <w:t>установление в контракте условий залоговых платежей, использование в качестве приложений к контракту гарантий институтов  поручителей;</w:t>
      </w:r>
    </w:p>
    <w:p w:rsidR="00435ED0" w:rsidRDefault="00043C31">
      <w:pPr>
        <w:pStyle w:val="Mystyle"/>
      </w:pPr>
      <w:r>
        <w:t>заблаговременное заключение с учреждениями банков договоров на факторинговое обслуживание возможной дебиторской задолженности для предотвращения иммобилизации в нее получаемой выручки;</w:t>
      </w:r>
    </w:p>
    <w:p w:rsidR="00435ED0" w:rsidRDefault="00043C31">
      <w:pPr>
        <w:pStyle w:val="Mystyle"/>
      </w:pPr>
      <w:r>
        <w:t>страхование возникающего ценового риска, а также возможных финансовых рисков сторон во взаиморасчетах по контракту;</w:t>
      </w:r>
    </w:p>
    <w:p w:rsidR="00435ED0" w:rsidRDefault="00043C31">
      <w:pPr>
        <w:pStyle w:val="Mystyle"/>
      </w:pPr>
      <w:r>
        <w:t>передача в контракте заказчику права собственности  на поставленную продукцию только после 100% ее оплаты;</w:t>
      </w:r>
    </w:p>
    <w:p w:rsidR="00435ED0" w:rsidRDefault="00043C31">
      <w:pPr>
        <w:pStyle w:val="Mystyle"/>
      </w:pPr>
      <w:r>
        <w:t>включение в контракт условий компенсации виновной стороной имевшего место при выполнении контракта ущерба, нанесенного третьим лицам;</w:t>
      </w:r>
    </w:p>
    <w:p w:rsidR="00435ED0" w:rsidRDefault="00043C31">
      <w:pPr>
        <w:pStyle w:val="Mystyle"/>
      </w:pPr>
      <w:r>
        <w:t>страхование незавершенного производства  от повреждения, которое может возникнуть в процессе выполнения контракта;</w:t>
      </w:r>
    </w:p>
    <w:p w:rsidR="00435ED0" w:rsidRDefault="00043C31">
      <w:pPr>
        <w:pStyle w:val="Mystyle"/>
      </w:pPr>
      <w:r>
        <w:t>передача особо рисковых, но необходимых для фирмы заказов другим исполнителям на условиях субподрядных отношений;</w:t>
      </w:r>
    </w:p>
    <w:p w:rsidR="00435ED0" w:rsidRDefault="00043C31">
      <w:pPr>
        <w:pStyle w:val="Mystyle"/>
      </w:pPr>
      <w:r>
        <w:t>определение приоритетов подготавливаемых контрактов исходя из действующих законодательных налоговых льгот по  различным видам деятельности.</w:t>
      </w:r>
    </w:p>
    <w:p w:rsidR="00435ED0" w:rsidRDefault="00043C31">
      <w:pPr>
        <w:pStyle w:val="Mystyle"/>
      </w:pPr>
      <w:r>
        <w:t>Б). По риску, связанному с использованием имущественного</w:t>
      </w:r>
    </w:p>
    <w:p w:rsidR="00435ED0" w:rsidRDefault="00043C31">
      <w:pPr>
        <w:pStyle w:val="Mystyle"/>
      </w:pPr>
      <w:r>
        <w:t xml:space="preserve"> комплекса предприятия:</w:t>
      </w:r>
    </w:p>
    <w:p w:rsidR="00435ED0" w:rsidRDefault="00043C31">
      <w:pPr>
        <w:pStyle w:val="Mystyle"/>
      </w:pPr>
      <w:r>
        <w:t>страхование имущественного комплекса предприятий и организаций от стихийных бедствий, аварийных ситуаций, противоправных действий третьих лиц (антиобщественных элементов), использование системы льготных взносов и общих компенсационных выплат;</w:t>
      </w:r>
    </w:p>
    <w:p w:rsidR="00435ED0" w:rsidRDefault="00043C31">
      <w:pPr>
        <w:pStyle w:val="Mystyle"/>
      </w:pPr>
      <w:r>
        <w:t>проведение комплекса мероприятий по обеспечению надежной охраны и безопасности имущества предприятий и организаций;</w:t>
      </w:r>
    </w:p>
    <w:p w:rsidR="00435ED0" w:rsidRDefault="00043C31">
      <w:pPr>
        <w:pStyle w:val="Mystyle"/>
      </w:pPr>
      <w:r>
        <w:t>введение в индивидуальные трудовые контракты с наемными работниками условия их персональной материальной ответственности  за нанесение ущерба имуществу предприятия, переданному им в пользование (удержание из заработной платы для возмещения допущенного ущерба);</w:t>
      </w:r>
    </w:p>
    <w:p w:rsidR="00435ED0" w:rsidRDefault="00043C31">
      <w:pPr>
        <w:pStyle w:val="Mystyle"/>
      </w:pPr>
      <w:r>
        <w:t>закрепление в уставе предприятий и организаций за исполнительной дирекцией  определенных границ применения права хозяйственного ведения имущественным комплексом, включая возможности и условия его реализации;</w:t>
      </w:r>
    </w:p>
    <w:p w:rsidR="00435ED0" w:rsidRDefault="00043C31">
      <w:pPr>
        <w:pStyle w:val="Mystyle"/>
      </w:pPr>
      <w:r>
        <w:t>заключение договора с юридической фирмой на правовую защиту интересов собственников  при отчуждении   имущества предприятия по  причинам возникновения экономических споров;</w:t>
      </w:r>
    </w:p>
    <w:p w:rsidR="00435ED0" w:rsidRDefault="00043C31">
      <w:pPr>
        <w:pStyle w:val="Mystyle"/>
      </w:pPr>
      <w:r>
        <w:t>сдача излишнего имущества (оборудование, здания и сооружения) в аренду или реализация по рыночным ценам;</w:t>
      </w:r>
    </w:p>
    <w:p w:rsidR="00435ED0" w:rsidRDefault="00043C31">
      <w:pPr>
        <w:pStyle w:val="Mystyle"/>
      </w:pPr>
      <w:r>
        <w:t>переход к различным видам лизинговых операций при обновлении оборудования и реструктуризации имущества;</w:t>
      </w:r>
    </w:p>
    <w:p w:rsidR="00435ED0" w:rsidRDefault="00043C31">
      <w:pPr>
        <w:pStyle w:val="Mystyle"/>
      </w:pPr>
      <w:r>
        <w:t>активизация усилий по закреплению в учетной политике целесообразных режимов ускоренной амортизации имущества;</w:t>
      </w:r>
    </w:p>
    <w:p w:rsidR="00435ED0" w:rsidRDefault="00043C31">
      <w:pPr>
        <w:pStyle w:val="Mystyle"/>
      </w:pPr>
      <w:r>
        <w:t>использование преимуществ инвестиционного налогового кредита при решении вопросов о схемах и источниках приобретения нового оборудования в рамках реконструкции и технического перевооружения действующего производства;</w:t>
      </w:r>
    </w:p>
    <w:p w:rsidR="00435ED0" w:rsidRDefault="00043C31">
      <w:pPr>
        <w:pStyle w:val="Mystyle"/>
      </w:pPr>
      <w:r>
        <w:t>получение  от независимых оценщиков заключения по реальной стоимости имущества, предоставляемого в качестве залогового обеспечения   привлекаемых кредитов и займов;</w:t>
      </w:r>
    </w:p>
    <w:p w:rsidR="00435ED0" w:rsidRDefault="00043C31">
      <w:pPr>
        <w:pStyle w:val="Mystyle"/>
      </w:pPr>
      <w:r>
        <w:t xml:space="preserve">закрепление в приказе по учетной политике такой формы начисления амортизации, которая наиболее целесообразна для реализации принятой инвестиционной стратегии. </w:t>
      </w:r>
    </w:p>
    <w:p w:rsidR="00435ED0" w:rsidRDefault="00043C31">
      <w:pPr>
        <w:pStyle w:val="Mystyle"/>
      </w:pPr>
      <w:r>
        <w:t>В) По риску, связанному с изменением конъюнктуры рынка:</w:t>
      </w:r>
    </w:p>
    <w:p w:rsidR="00435ED0" w:rsidRDefault="00043C31">
      <w:pPr>
        <w:pStyle w:val="Mystyle"/>
      </w:pPr>
      <w:r>
        <w:t>проведение активной маркетинговой политики в части освоения новых рынков на основе формирования соответствующего банка данных и использования современных информационных технологий;</w:t>
      </w:r>
    </w:p>
    <w:p w:rsidR="00435ED0" w:rsidRDefault="00043C31">
      <w:pPr>
        <w:pStyle w:val="Mystyle"/>
      </w:pPr>
      <w:r>
        <w:t>ориентация на многопрофильность предприятий и организаций в части выпуска различной продукции и оказания услуг;</w:t>
      </w:r>
    </w:p>
    <w:p w:rsidR="00435ED0" w:rsidRDefault="00043C31">
      <w:pPr>
        <w:pStyle w:val="Mystyle"/>
      </w:pPr>
      <w:r>
        <w:t>коммерциализация деятельности предприятий и организаций в части доходного вложения свободных денежных активов;</w:t>
      </w:r>
    </w:p>
    <w:p w:rsidR="00435ED0" w:rsidRDefault="00043C31">
      <w:pPr>
        <w:pStyle w:val="Mystyle"/>
      </w:pPr>
      <w:r>
        <w:t>исключение зависимости от ограниченной группы поставщиков путем разработки многоканальных схем снабжения;</w:t>
      </w:r>
    </w:p>
    <w:p w:rsidR="00435ED0" w:rsidRDefault="00043C31">
      <w:pPr>
        <w:pStyle w:val="Mystyle"/>
      </w:pPr>
      <w:r>
        <w:t>создание в качестве дочерних или зависимых обществ сети венчурных рисковых предприятий, филиалов и представительств;</w:t>
      </w:r>
    </w:p>
    <w:p w:rsidR="00435ED0" w:rsidRDefault="00043C31">
      <w:pPr>
        <w:pStyle w:val="Mystyle"/>
      </w:pPr>
      <w:r>
        <w:t>создание в качестве дочерних или зависимых обществ страховых компаний и других институтов рыночной инфраструктуры;</w:t>
      </w:r>
    </w:p>
    <w:p w:rsidR="00435ED0" w:rsidRDefault="00043C31">
      <w:pPr>
        <w:pStyle w:val="Mystyle"/>
      </w:pPr>
      <w:r>
        <w:t>вступление в союзы, ассоциации и финансово-промышленные группы и использование возможностей внутреннего оборота, а также создаваемых централизованных фондов развития;</w:t>
      </w:r>
    </w:p>
    <w:p w:rsidR="00435ED0" w:rsidRDefault="00043C31">
      <w:pPr>
        <w:pStyle w:val="Mystyle"/>
      </w:pPr>
      <w:r>
        <w:t>контроль за соблюдением предприятиями и организациями требований антимонопольного законодательства;</w:t>
      </w:r>
    </w:p>
    <w:p w:rsidR="00435ED0" w:rsidRDefault="00043C31">
      <w:pPr>
        <w:pStyle w:val="Mystyle"/>
      </w:pPr>
      <w:r>
        <w:t>постоянное выявление проблем и “узких мест” в работе потенциальных конкурентов;</w:t>
      </w:r>
    </w:p>
    <w:p w:rsidR="00435ED0" w:rsidRDefault="00043C31">
      <w:pPr>
        <w:pStyle w:val="Mystyle"/>
      </w:pPr>
      <w:r>
        <w:t>формирование благожелательного общественного мнения относительно  преимуществ выпускаемой продукции, выполняемых работ, оказываемых услуг, включая благотворительность и участие в финансировании общественных движений;</w:t>
      </w:r>
    </w:p>
    <w:p w:rsidR="00435ED0" w:rsidRDefault="00043C31">
      <w:pPr>
        <w:pStyle w:val="Mystyle"/>
      </w:pPr>
      <w:r>
        <w:t>проведение мероприятий по созданию собственных служб безопасности коммерческой деятельности  предприятия или организации;</w:t>
      </w:r>
    </w:p>
    <w:p w:rsidR="00435ED0" w:rsidRDefault="00043C31">
      <w:pPr>
        <w:pStyle w:val="Mystyle"/>
      </w:pPr>
      <w:r>
        <w:t>ограничение доступа персонала к банковским  документам, если это непосредственно не связано с  исполнением служебных обязанностей;</w:t>
      </w:r>
    </w:p>
    <w:p w:rsidR="00435ED0" w:rsidRDefault="00043C31">
      <w:pPr>
        <w:pStyle w:val="Mystyle"/>
      </w:pPr>
      <w:r>
        <w:t>повышение гарантийного срока на проданную продукцию или выполненные работы, постоянное расширение состава услуг, оказываемых в рамках послепродажного обслуживания;</w:t>
      </w:r>
    </w:p>
    <w:p w:rsidR="00435ED0" w:rsidRDefault="00043C31">
      <w:pPr>
        <w:pStyle w:val="Mystyle"/>
      </w:pPr>
      <w:r>
        <w:t>проведение при освоении новых рынков  совместных операций с  деловыми партнерами по схеме “франчайзер”;</w:t>
      </w:r>
    </w:p>
    <w:p w:rsidR="00435ED0" w:rsidRDefault="00043C31">
      <w:pPr>
        <w:pStyle w:val="Mystyle"/>
      </w:pPr>
      <w:r>
        <w:t>использование возможностей ипотечного кредитования за счет оформления имущественных прав на земельные участки;</w:t>
      </w:r>
    </w:p>
    <w:p w:rsidR="00435ED0" w:rsidRDefault="00043C31">
      <w:pPr>
        <w:pStyle w:val="Mystyle"/>
      </w:pPr>
      <w:r>
        <w:t>увеличение собственного капитала за счет конкурсного распространения дополнительной эмиссии акций и других ценных бумаг, выпускаемых предприятиями и организациями, среди институтов рыночной инфраструктуры и хозяйственных партнеров.</w:t>
      </w:r>
    </w:p>
    <w:p w:rsidR="00435ED0" w:rsidRDefault="00043C31">
      <w:pPr>
        <w:pStyle w:val="Mystyle"/>
      </w:pPr>
      <w:r>
        <w:t>Г). По риску, связанному с возникновением непредвиденных потерь:</w:t>
      </w:r>
    </w:p>
    <w:p w:rsidR="00435ED0" w:rsidRDefault="00043C31">
      <w:pPr>
        <w:pStyle w:val="Mystyle"/>
      </w:pPr>
      <w:r>
        <w:t>систематизация  всех потенциальных потерь и возможных причин  возникновения (формирование представления о потерях и их идентификация), выявление на перспективу  вероятных зон потерь предприятий и организаций (повышение предсказуемости потерь);</w:t>
      </w:r>
    </w:p>
    <w:p w:rsidR="00435ED0" w:rsidRDefault="00043C31">
      <w:pPr>
        <w:pStyle w:val="Mystyle"/>
      </w:pPr>
      <w:r>
        <w:t>создание из чистой прибыли предприятий и организаций резервных фондов для финансирования случайных убытков, определение максимальной способности к удержанию прогнозируемых убытков;</w:t>
      </w:r>
    </w:p>
    <w:p w:rsidR="00435ED0" w:rsidRDefault="00043C31">
      <w:pPr>
        <w:pStyle w:val="Mystyle"/>
      </w:pPr>
      <w:r>
        <w:t xml:space="preserve">самострахование риска, включая: полное отнесение на финансовые результаты расходов по покрытию потерь; планирование видов деятельности, подстраховывающих состояние ликвидности; создание дочерней страховой компании; использование “арендуемых” средств страхования группы дочерних хозяйственных обществ;  </w:t>
      </w:r>
    </w:p>
    <w:p w:rsidR="00435ED0" w:rsidRDefault="00043C31">
      <w:pPr>
        <w:pStyle w:val="Mystyle"/>
      </w:pPr>
      <w:r>
        <w:t>оптимизация структуры капитала предприятий и организаций (активов и пассивов, основного и оборотного капитала) в соответствии с отраслевыми особенностями (эталоны для определения рейтинга);</w:t>
      </w:r>
    </w:p>
    <w:p w:rsidR="00435ED0" w:rsidRDefault="00043C31">
      <w:pPr>
        <w:pStyle w:val="Mystyle"/>
      </w:pPr>
      <w:r>
        <w:t>обеспечение у предприятий и организаций сформированного “портфеля заказов”  на весь установленный банками период кредитования;</w:t>
      </w:r>
    </w:p>
    <w:p w:rsidR="00435ED0" w:rsidRDefault="00043C31">
      <w:pPr>
        <w:pStyle w:val="Mystyle"/>
      </w:pPr>
      <w:r>
        <w:t>осуществление мер по распространению принципов коммерческого расчета и внутрихозяйственной аренды во всех производственных подразделениях предприятий и организаций;</w:t>
      </w:r>
    </w:p>
    <w:p w:rsidR="00435ED0" w:rsidRDefault="00043C31">
      <w:pPr>
        <w:pStyle w:val="Mystyle"/>
      </w:pPr>
      <w:r>
        <w:t>создание основным юридическим лицом (предприятие или организация) на базе своих структурных подразделений сети зависимых обществ с ограниченной ответственностью (внесение единственным учредителем из чистой прибыли в уставный капитал ООО доли в 100 минимальных заработных плат). Дальнейшая передача им в аренду (на условиях арендодателя) части имущества, продолжающего состоять в целом на балансе предприятия и организации. Заключение с зависимыми обществами правового договора о совместной деятельности;</w:t>
      </w:r>
    </w:p>
    <w:p w:rsidR="00435ED0" w:rsidRDefault="00043C31">
      <w:pPr>
        <w:pStyle w:val="Mystyle"/>
      </w:pPr>
      <w:r>
        <w:t>разработка на предприятии и организации системы внутрифирменных нормативов эффективности для осуществления бюджетирования затрат по уровням управления (от предприятия до бригады рабочих);</w:t>
      </w:r>
    </w:p>
    <w:p w:rsidR="00435ED0" w:rsidRDefault="00043C31">
      <w:pPr>
        <w:pStyle w:val="Mystyle"/>
      </w:pPr>
      <w:r>
        <w:t>равномерное распределение имеющихся свободных денежных активов предприятий и организаций по доходным депозитным счетам в коммерческих банках, эффективным инвестиционным проектам и наиболее ликвидным ценным бумагам;</w:t>
      </w:r>
    </w:p>
    <w:p w:rsidR="00435ED0" w:rsidRDefault="00043C31">
      <w:pPr>
        <w:pStyle w:val="Mystyle"/>
      </w:pPr>
      <w:r>
        <w:t>строгое соблюдение установленных действующим законодательством сроков и ставок налоговых платежей в бюджеты различных уровней и отчислений  во внебюджетные фонды;</w:t>
      </w:r>
    </w:p>
    <w:p w:rsidR="00435ED0" w:rsidRDefault="00043C31">
      <w:pPr>
        <w:pStyle w:val="Mystyle"/>
      </w:pPr>
      <w:r>
        <w:t>внедрение регламентного управления, закрепляющего четкое распределение прав, обязанностей и ответственности среди работников исполнительной дирекции предприятия при подготовке и реализации управленческих решений;</w:t>
      </w:r>
    </w:p>
    <w:p w:rsidR="00435ED0" w:rsidRDefault="00043C31">
      <w:pPr>
        <w:pStyle w:val="Mystyle"/>
      </w:pPr>
      <w:r>
        <w:t>создание на предприятиях и организациях аналитического центра (лаборатории), постоянное проведение специалистами и консультантами экономического тестирования, экспресс-анализа, диагностики положения на рынке и  достигаемых результатов предпринимательской деятельности;</w:t>
      </w:r>
    </w:p>
    <w:p w:rsidR="00435ED0" w:rsidRDefault="00043C31">
      <w:pPr>
        <w:pStyle w:val="Mystyle"/>
      </w:pPr>
      <w:r>
        <w:t>постоянное проведение мероприятий по ежегодной аттестации, переподготовке и ускорение повышения квалификации кадров по сравнению с конкурентами;</w:t>
      </w:r>
    </w:p>
    <w:p w:rsidR="00435ED0" w:rsidRDefault="00043C31">
      <w:pPr>
        <w:pStyle w:val="Mystyle"/>
      </w:pPr>
      <w:r>
        <w:t>переход на контрактную систему приема и увольнения наемных работников, ориентируясь при этом на закрепление в контракте их персональной материальной ответственности за выполнение взятых на себя обязательств;</w:t>
      </w:r>
    </w:p>
    <w:p w:rsidR="00435ED0" w:rsidRDefault="00043C31">
      <w:pPr>
        <w:pStyle w:val="Mystyle"/>
      </w:pPr>
      <w:r>
        <w:t>проверка анкетных данных и рекомендаций  нанимаемых работников до заключения трудовых контрактов;</w:t>
      </w:r>
    </w:p>
    <w:p w:rsidR="00435ED0" w:rsidRDefault="00043C31">
      <w:pPr>
        <w:pStyle w:val="Mystyle"/>
      </w:pPr>
      <w:r>
        <w:t>заключение при найме работников договора о неразглашении ими принадлежащей предприятию или организации информации;</w:t>
      </w:r>
    </w:p>
    <w:p w:rsidR="00435ED0" w:rsidRDefault="00043C31">
      <w:pPr>
        <w:pStyle w:val="Mystyle"/>
      </w:pPr>
      <w:r>
        <w:t>постепенное привлечение наемных работников к владению и управлению собственностью предприятий и организаций путем премирования их активной деятельности акциями и другими ценными бумагами, выпускаемых собственниками предприятий и организаций в рамках дополнительных эмиссий;</w:t>
      </w:r>
    </w:p>
    <w:p w:rsidR="00435ED0" w:rsidRDefault="00043C31">
      <w:pPr>
        <w:pStyle w:val="Mystyle"/>
      </w:pPr>
      <w:r>
        <w:t>введение на предприятии или в организации при согласии сторон системы внутрифирменных начислений на заработную плату сотрудников. Создание за счет этого специальных фондов по финансированию расходов на их дополнительное образование, страхование, медицинское и пенсионное обслуживание;</w:t>
      </w:r>
    </w:p>
    <w:p w:rsidR="00435ED0" w:rsidRDefault="00043C31">
      <w:pPr>
        <w:pStyle w:val="Mystyle"/>
      </w:pPr>
      <w:r>
        <w:t>активное использование и включение в условия трудовых контрактов наемных работников систем оплаты труда, привязанных к конечным результатам предпринимательской деятельности предприятий и организаций (прибыли, объемам продаж);</w:t>
      </w:r>
    </w:p>
    <w:p w:rsidR="00435ED0" w:rsidRDefault="00043C31">
      <w:pPr>
        <w:pStyle w:val="Mystyle"/>
      </w:pPr>
      <w:r>
        <w:t>борьба с убытками путем обеспечения безопасных условий труда  работников и постоянного проведения профилактических мероприятий по охране труда и технике безопасности;</w:t>
      </w:r>
    </w:p>
    <w:p w:rsidR="00435ED0" w:rsidRDefault="00043C31">
      <w:pPr>
        <w:pStyle w:val="Mystyle"/>
      </w:pPr>
      <w:r>
        <w:t>проведение дополнительных работ по контролю качества и  безопасности выпускаемой продукции для потребителей (включая случаи неправильного и неосторожного использования);</w:t>
      </w:r>
    </w:p>
    <w:p w:rsidR="00435ED0" w:rsidRDefault="00043C31">
      <w:pPr>
        <w:pStyle w:val="Mystyle"/>
      </w:pPr>
      <w:r>
        <w:t>введение в условия заключаемых хозяйственных договоров и контрактов требования компенсации заказчиками повышенных расходов, связанных с серьезными изменениями сложившегося порядка рыночного ценообразования, приводящими к резкому  возрастанию  затрат.</w:t>
      </w:r>
    </w:p>
    <w:p w:rsidR="00435ED0" w:rsidRDefault="00435ED0">
      <w:pPr>
        <w:pStyle w:val="Mystyle"/>
      </w:pPr>
    </w:p>
    <w:p w:rsidR="00435ED0" w:rsidRDefault="00043C31">
      <w:pPr>
        <w:pStyle w:val="Mystyle"/>
      </w:pPr>
      <w:r>
        <w:t>Порядок  интегральной оценки степени предупреждения предпринимательского риска</w:t>
      </w:r>
    </w:p>
    <w:p w:rsidR="00435ED0" w:rsidRDefault="00043C31">
      <w:pPr>
        <w:pStyle w:val="Mystyle"/>
      </w:pPr>
      <w:r>
        <w:t xml:space="preserve">         </w:t>
      </w:r>
    </w:p>
    <w:p w:rsidR="00435ED0" w:rsidRDefault="00043C31">
      <w:pPr>
        <w:pStyle w:val="Mystyle"/>
      </w:pPr>
      <w:r>
        <w:t xml:space="preserve">                Расчет интегральной оценки степени предупреждения риска базируется на мнении экспертов, определяющих вероятность реализации предлагаемых в тесте предупредительных мероприятий. Для выработки ими своего мнения выделяются интервалы вероятностных оценок, а именно: 100%, если мероприятие реализуется обязательно; 75%, если мероприятие скорее всего реализуется; 50%, если о проведении мероприятия ничего определенного сказать нельзя; 25%, если мало вероятно, что мероприятие  реализуется; 0%, если мероприятие не принято к осуществлению. Для конкретного предприятия или организации экспертным путем по каждому  мероприятию, исходя из заданного интервала оценок, определяется вероятность его реализации (Pj). Затем рассчитывается  суммарная прогнозируемая вероятность реализации выбранных к осуществлению предупредительных мероприятий по всем выделенным формам проявления предпринимательского риска -  </w:t>
      </w:r>
      <w:r>
        <w:rPr>
          <w:rFonts w:ascii="Symbol" w:hAnsi="Symbol"/>
        </w:rPr>
        <w:t></w:t>
      </w:r>
      <w:r>
        <w:t xml:space="preserve"> Pj .</w:t>
      </w:r>
    </w:p>
    <w:p w:rsidR="00435ED0" w:rsidRDefault="00043C31">
      <w:pPr>
        <w:pStyle w:val="Mystyle"/>
      </w:pPr>
      <w:r>
        <w:t xml:space="preserve">              Для расчета интегральной оценки степени предупреждения предпринимательского риска принимается условие, что для сведения его к допустимым пределам необходимо осуществлять все предлагаемые предупредительные мероприятия. Тогда максимально возможная величина положительных вероятностных оценок будет равна произведению общего количества осуществляемых мероприятий на 100%, а именно:</w:t>
      </w:r>
    </w:p>
    <w:p w:rsidR="00435ED0" w:rsidRDefault="00043C31">
      <w:pPr>
        <w:pStyle w:val="Mystyle"/>
      </w:pPr>
      <w:r>
        <w:t xml:space="preserve">                                                       Пj = 100% </w:t>
      </w:r>
      <w:r>
        <w:rPr>
          <w:rFonts w:ascii="Symbol" w:hAnsi="Symbol"/>
        </w:rPr>
        <w:t></w:t>
      </w:r>
      <w:r>
        <w:t xml:space="preserve"> n , где n = 1,…j  ,             (1)</w:t>
      </w:r>
    </w:p>
    <w:p w:rsidR="00435ED0" w:rsidRDefault="00043C31">
      <w:pPr>
        <w:pStyle w:val="Mystyle"/>
      </w:pPr>
      <w:r>
        <w:t xml:space="preserve">             Следующим этапом является определение соотношения между суммарной прогнозируемой вероятностью реализации предупредительных мероприятий и максимально возможной величиной положительных вероятностных оценок. Расчет производится следующим образом:  </w:t>
      </w:r>
    </w:p>
    <w:p w:rsidR="00435ED0" w:rsidRDefault="00043C31">
      <w:pPr>
        <w:pStyle w:val="Mystyle"/>
      </w:pPr>
      <w:r>
        <w:t xml:space="preserve">                                                              К = </w:t>
      </w:r>
      <w:r>
        <w:rPr>
          <w:rFonts w:ascii="Symbol" w:hAnsi="Symbol"/>
        </w:rPr>
        <w:t></w:t>
      </w:r>
      <w:r>
        <w:t xml:space="preserve"> Рj / Пj  ,                                (2)</w:t>
      </w:r>
    </w:p>
    <w:p w:rsidR="00435ED0" w:rsidRDefault="00043C31">
      <w:pPr>
        <w:pStyle w:val="Mystyle"/>
      </w:pPr>
      <w:r>
        <w:t xml:space="preserve">             Экономический смысл получаемого коэффициента состоит в отражении полноты выполнения всего предлагаемого комплекса предупредительных мероприятий. Тогда показатель - R, обратный по величине данному коэффициенту, характеризует возможность наступления предпринимательского риска в части рассмотренных форм его проявления: </w:t>
      </w:r>
    </w:p>
    <w:p w:rsidR="00435ED0" w:rsidRDefault="00043C31">
      <w:pPr>
        <w:pStyle w:val="Mystyle"/>
      </w:pPr>
      <w:r>
        <w:t xml:space="preserve">                                                               R = (1- К) </w:t>
      </w:r>
      <w:r>
        <w:rPr>
          <w:rFonts w:ascii="Symbol" w:hAnsi="Symbol"/>
        </w:rPr>
        <w:t></w:t>
      </w:r>
      <w:r>
        <w:t xml:space="preserve"> 100  ,                        (3)</w:t>
      </w:r>
    </w:p>
    <w:p w:rsidR="00435ED0" w:rsidRDefault="00043C31">
      <w:pPr>
        <w:pStyle w:val="Mystyle"/>
      </w:pPr>
      <w:r>
        <w:t xml:space="preserve">             По отношению к данному показателю - R, действуют следующие предположения, если - R, составляет:</w:t>
      </w:r>
    </w:p>
    <w:p w:rsidR="00435ED0" w:rsidRDefault="00043C31">
      <w:pPr>
        <w:pStyle w:val="Mystyle"/>
      </w:pPr>
      <w:r>
        <w:t xml:space="preserve">            от 0 до 15%, то это характеризует хорошую работу менеджеров предприятия по предупреждению возможного риска;</w:t>
      </w:r>
    </w:p>
    <w:p w:rsidR="00435ED0" w:rsidRDefault="00043C31">
      <w:pPr>
        <w:pStyle w:val="Mystyle"/>
      </w:pPr>
      <w:r>
        <w:t xml:space="preserve">           от 15 до 30%, то это свидетельствует о достаточности осуществляемых на предприятии мер по предупреждению  риска;</w:t>
      </w:r>
    </w:p>
    <w:p w:rsidR="00435ED0" w:rsidRDefault="00043C31">
      <w:pPr>
        <w:pStyle w:val="Mystyle"/>
      </w:pPr>
      <w:r>
        <w:t xml:space="preserve">           от 30 до 50%, то это характеризует недостаточность осуществляемых на предприятии мер по предупреждению возможного риска;</w:t>
      </w:r>
    </w:p>
    <w:p w:rsidR="00435ED0" w:rsidRDefault="00043C31">
      <w:pPr>
        <w:pStyle w:val="Mystyle"/>
      </w:pPr>
      <w:r>
        <w:t xml:space="preserve">           от 50 до 75%, то имеет место критическое положение   дел по предупреждению риска;</w:t>
      </w:r>
    </w:p>
    <w:p w:rsidR="00435ED0" w:rsidRDefault="00043C31">
      <w:pPr>
        <w:pStyle w:val="Mystyle"/>
      </w:pPr>
      <w:r>
        <w:t xml:space="preserve">         от 75 до 100%, то можно утверждать об отсутствии на предприятии должной работы по предупреждению риска.</w:t>
      </w:r>
    </w:p>
    <w:p w:rsidR="00435ED0" w:rsidRDefault="00043C31">
      <w:pPr>
        <w:pStyle w:val="Mystyle"/>
      </w:pPr>
      <w:r>
        <w:t xml:space="preserve">            Руководствуясь данной шкалой, каждое предприятие или организация могут оценить действенность своих усилий по предупреждению риска. Важность этого теста определяется тем, что в практике предпринимательской деятельности значительно меньше средств и времени можно затратить на предупреждение риска, чем на преодоление возникающих потерь при наступлении неблагоприятных событий. </w:t>
      </w:r>
    </w:p>
    <w:p w:rsidR="00435ED0" w:rsidRDefault="00435ED0">
      <w:pPr>
        <w:pStyle w:val="Mystyle"/>
        <w:rPr>
          <w:i/>
          <w:iCs/>
        </w:rPr>
      </w:pPr>
    </w:p>
    <w:p w:rsidR="00435ED0" w:rsidRDefault="00043C31">
      <w:pPr>
        <w:pStyle w:val="Mystyl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Тест 2.  Оценка вероятности наступления риска</w:t>
      </w:r>
    </w:p>
    <w:p w:rsidR="00435ED0" w:rsidRDefault="00435ED0">
      <w:pPr>
        <w:pStyle w:val="Mystyle"/>
        <w:rPr>
          <w:u w:val="single"/>
        </w:rPr>
      </w:pPr>
    </w:p>
    <w:p w:rsidR="00435ED0" w:rsidRDefault="00043C31">
      <w:pPr>
        <w:pStyle w:val="Mystyle"/>
      </w:pPr>
      <w:r>
        <w:rPr>
          <w:u w:val="single"/>
        </w:rPr>
        <w:t>Задание теста.</w:t>
      </w:r>
      <w:r>
        <w:t xml:space="preserve"> Оценить общую вероятность наступления предпринимательского риска по возможным формам его проявления. Тестирование предусматривает использование следующих вероятностных оценок ( Р ) по факторам простого риска:</w:t>
      </w:r>
    </w:p>
    <w:p w:rsidR="00435ED0" w:rsidRDefault="00043C31">
      <w:pPr>
        <w:pStyle w:val="Mystyle"/>
      </w:pPr>
      <w:r>
        <w:t>0     - риск рассматривается как несущественный;</w:t>
      </w:r>
    </w:p>
    <w:p w:rsidR="00435ED0" w:rsidRDefault="00043C31">
      <w:pPr>
        <w:pStyle w:val="Mystyle"/>
      </w:pPr>
      <w:r>
        <w:t>25   - риск скорее всего не реализуется;</w:t>
      </w:r>
    </w:p>
    <w:p w:rsidR="00435ED0" w:rsidRDefault="00043C31">
      <w:pPr>
        <w:pStyle w:val="Mystyle"/>
      </w:pPr>
      <w:r>
        <w:t>50   - о наступлении события ничего определенного сказать нельзя;</w:t>
      </w:r>
    </w:p>
    <w:p w:rsidR="00435ED0" w:rsidRDefault="00043C31">
      <w:pPr>
        <w:pStyle w:val="Mystyle"/>
      </w:pPr>
      <w:r>
        <w:t>75   - риск скорее всего проявится;</w:t>
      </w:r>
    </w:p>
    <w:p w:rsidR="00435ED0" w:rsidRDefault="00043C31">
      <w:pPr>
        <w:pStyle w:val="Mystyle"/>
      </w:pPr>
      <w:r>
        <w:t>100 - риск наверняка реализуется.</w:t>
      </w:r>
    </w:p>
    <w:p w:rsidR="00435ED0" w:rsidRDefault="00435ED0">
      <w:pPr>
        <w:pStyle w:val="Mystyle"/>
        <w:rPr>
          <w:u w:val="single"/>
        </w:rPr>
      </w:pPr>
    </w:p>
    <w:p w:rsidR="00435ED0" w:rsidRDefault="00043C31">
      <w:pPr>
        <w:pStyle w:val="Mystyle"/>
      </w:pPr>
      <w:r>
        <w:rPr>
          <w:u w:val="single"/>
        </w:rPr>
        <w:t>Общие положения.</w:t>
      </w:r>
      <w:r>
        <w:t xml:space="preserve"> Оценка вероятности наступления риска производится  группой специалистов, представляющих интересы как предпринимательских структур, так и  институтов инфраструктуры рынка. Ими заполняется специальная анкета, отражающая факторы возможного наступления риска. Для обобщения полученных данных используются методы экспертных оценок. Макет анкеты приведен в табл. 1.</w:t>
      </w:r>
    </w:p>
    <w:p w:rsidR="00435ED0" w:rsidRDefault="00043C31">
      <w:pPr>
        <w:pStyle w:val="Mystyle"/>
      </w:pPr>
      <w:r>
        <w:t xml:space="preserve">                                                                                                                                        Таблица 1</w:t>
      </w:r>
    </w:p>
    <w:tbl>
      <w:tblPr>
        <w:tblW w:w="0" w:type="auto"/>
        <w:tblInd w:w="-109" w:type="dxa"/>
        <w:tblLayout w:type="fixed"/>
        <w:tblLook w:val="0000" w:firstRow="0" w:lastRow="0" w:firstColumn="0" w:lastColumn="0" w:noHBand="0" w:noVBand="0"/>
      </w:tblPr>
      <w:tblGrid>
        <w:gridCol w:w="534"/>
        <w:gridCol w:w="3260"/>
        <w:gridCol w:w="4394"/>
        <w:gridCol w:w="1418"/>
      </w:tblGrid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  <w:rPr>
                <w:rFonts w:ascii="Symbol" w:hAnsi="Symbol"/>
              </w:rPr>
            </w:pPr>
            <w:r>
              <w:rPr>
                <w:rFonts w:ascii="Symbol" w:hAnsi="Symbol"/>
              </w:rPr>
              <w:t>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Фактор простого риска по формам проявления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Влияние на повышение затрат и снижение прибыли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Вероят-ность - Р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4</w:t>
            </w: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Риск, связанный с заключением и выполнением хозяйственных контрактов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Отказ от заключения конт-рактов после подписания протокола о намерениях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Повышение затрат на продвижение товара на рынок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Отказ сторон от включения в контракт жестких штрафных санкций за невыполнение условий контракта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Повышение затрат на страхование условий контракта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Отказ заказчика от включения в контракт условия авансовых платежей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Повышение затрат исполнителя за счет увеличения расходов по оплате пользования заемными средствами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4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Невыполнение партнерами условий контракта, их изменение в процессе выполнения контракта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Повышенные затраты исполнителя за счет потерь в использовании ресурсов. Непроизводительные затраты заказчика в связи с нарушением сроков контракта.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5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Прекращение действия заключенного контракта в процессе его выполнения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 исполнителя, связанные с консервированием и реализацией предмета контракта.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                                                                                                         Продолжение таблицы 1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4</w:t>
            </w: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6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Разглашение условий контракта, относящихся к коммерческой тайне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размера получаемой прибыли за счет уменьшения объема продаж и возможного демпинга по ценам со стороны конкурентов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7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Нанесение вреда незавершен ному предмету контракта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 исполнителя по восстановлению причиненного ущерба.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8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Возникновение форс-мажорных обстоятельств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Непроизводительные затраты по компенсации возникших  обстоятельств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9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Нанесение ущерба третьим лицам в процессе выполнения контракта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Дополнительные затраты по компенсации нанесенного вреда здоровью людей, экологической обстановке, другим юридическим лицам 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Риск, связанный с использованием имущественного комплекса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10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Возникновение стихийных бедствий 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Непроизводительные затраты на ликвидацию последствий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11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Создание аварийных ситуаций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Непроизводительные затраты на ликвидацию последствий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12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Недобросовестное отноше-ние сотрудников фирмы к имуществу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Непроизводительные затраты, связанные с хищением и порчей имущества.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13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Нарушение исполнительной дирекцией закрепленного в уставе права хозяйственного ведения имуществом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Потери прибыли в результате просчетов при реализации имущества, а также из-за его  отчуждения  в судебном порядке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13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Несвоевременность и неполнота  платежей по имуществу, сдаваемому в аренду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доходов от сдачи имущества в аренду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14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Удаленность  комплекса от транспортных магистралей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 на создание подъездных путей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15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Изменение отношения мест-ных органов власти к плате-жам за  имущество 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Использование части прибыли на участие в социальных программах местных органов власти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16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Повышение физического и морального износа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Рост затрат на ремонт и обновление оборудования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17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Отсутствие резерва мощности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Отказ от контрактов, связанных с повышенным риском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18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Использование вредных технологий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 на охрану окружающей среды и уплату штрафов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Риск, связанный  с изменением конъюнктуры рынка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19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Нестабильность полити-ческой ситуации в стране</w:t>
            </w:r>
          </w:p>
          <w:p w:rsidR="00435ED0" w:rsidRDefault="00043C31">
            <w:pPr>
              <w:pStyle w:val="Mystyle"/>
            </w:pPr>
            <w:r>
              <w:t xml:space="preserve"> и регионе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объемов продаж и получаемой прибыли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20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Действие инфляционных факторов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Недостаток получаемой прибыли для развития производства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21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Изменение поведения и требований потребителей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Увеличение затрат на маркетинговые исследования и  нововведения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                                                                                                    Продолжение таблицы 1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1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4</w:t>
            </w: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22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Пересмотр предложения  со стороны конкурентов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Вынужденное снижение цен на продукцию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23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Монополизм поставщиков на местные источники сырья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Увеличение затрат на закупку сырья и снижение прибыли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24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Промышленный шпионаж со стороны конкурентов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 xml:space="preserve">Увеличение расходов на службу безопасности 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25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Падение престижа фирмы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расходы на   рекламу и послепродажное обслуживание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26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Ужесточение методов государственного регулирования экономики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объемов производства, падение объемов продаж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27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Изменение действующих налоговых ставок в течение финансового года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Увеличение общей суммы уплачиваемых налогов и снижение чистой прибыли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960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Риск, связанный с возникновением потерь в использовании ресурсов</w:t>
            </w:r>
          </w:p>
        </w:tc>
      </w:tr>
      <w:tr w:rsidR="00435ED0">
        <w:tc>
          <w:tcPr>
            <w:tcW w:w="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28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Наличие простоев трудовых и технических ресурсов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Возникновение дополнительных расходов по оплате простоев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29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Наличие  сверхнормативного расхода  ресурсов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прибыли в основном и вспомогательном  производстве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30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Возникновение непроизводительных затрат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общего финансового результата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31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Повышение текучести кадров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 на подготовку кадров  и социальную защищенность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32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Непредвиденный рост цен на сырье и энергоносители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Увеличение себестоимости продукции и снижение прибыли от ее реализации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33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Уплата штрафов и неустоек по контрактам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чистой прибыли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34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Нарушение платежеспособ-ности из-за  дебиторской задолженности  заказчиков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Дополнительные затраты, связанные с увеличением размера привлекаемых заемных средств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35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Потери денежных активов фирмы, размещенных в  других  структурах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ликвидности баланса, уменьшение величины собственных средств и финансового результата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c>
          <w:tcPr>
            <w:tcW w:w="5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36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Уплата санкций за нарушение налогового законодательства</w:t>
            </w:r>
          </w:p>
        </w:tc>
        <w:tc>
          <w:tcPr>
            <w:tcW w:w="4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Снижение чистой прибыли, остающейся в распоряжении предприятия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379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Оценка   общей величины возможного предпринимательского риска</w:t>
            </w: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Итого сумма оценок -   (</w:t>
            </w:r>
            <w:r>
              <w:rPr>
                <w:rFonts w:ascii="Symbol" w:hAnsi="Symbol"/>
              </w:rPr>
              <w:t></w:t>
            </w:r>
            <w:r>
              <w:t>Р)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  <w:tr w:rsidR="00435ED0">
        <w:trPr>
          <w:cantSplit/>
        </w:trPr>
        <w:tc>
          <w:tcPr>
            <w:tcW w:w="379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Максимальная сумма -               М=</w:t>
            </w:r>
            <w:r>
              <w:rPr>
                <w:rFonts w:ascii="Symbol" w:hAnsi="Symbol"/>
              </w:rPr>
              <w:t></w:t>
            </w:r>
            <w:r>
              <w:rPr>
                <w:rFonts w:ascii="Symbol" w:hAnsi="Symbol"/>
              </w:rPr>
              <w:t></w:t>
            </w:r>
            <w:r>
              <w:t>100= 36</w:t>
            </w:r>
            <w:r>
              <w:rPr>
                <w:rFonts w:ascii="Symbol" w:hAnsi="Symbol"/>
              </w:rPr>
              <w:t></w:t>
            </w:r>
            <w:r>
              <w:t>100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</w:pPr>
            <w:r>
              <w:t>3600</w:t>
            </w:r>
          </w:p>
        </w:tc>
      </w:tr>
      <w:tr w:rsidR="00435ED0">
        <w:trPr>
          <w:cantSplit/>
        </w:trPr>
        <w:tc>
          <w:tcPr>
            <w:tcW w:w="379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  <w:tc>
          <w:tcPr>
            <w:tcW w:w="4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043C31">
            <w:pPr>
              <w:pStyle w:val="Mystyle"/>
              <w:rPr>
                <w:rFonts w:ascii="Symbol" w:hAnsi="Symbol"/>
              </w:rPr>
            </w:pPr>
            <w:r>
              <w:t xml:space="preserve">Составной риск  -  </w:t>
            </w:r>
            <w:r>
              <w:rPr>
                <w:lang w:val="en-US"/>
              </w:rPr>
              <w:t xml:space="preserve">R = </w:t>
            </w:r>
            <w:r>
              <w:t xml:space="preserve"> </w:t>
            </w:r>
            <w:r>
              <w:rPr>
                <w:rFonts w:ascii="Symbol" w:hAnsi="Symbol"/>
              </w:rPr>
              <w:t></w:t>
            </w:r>
            <w:r>
              <w:t>(</w:t>
            </w:r>
            <w:r>
              <w:rPr>
                <w:rFonts w:ascii="Symbol" w:hAnsi="Symbol"/>
              </w:rPr>
              <w:t></w:t>
            </w:r>
            <w:r>
              <w:t>Р</w:t>
            </w:r>
            <w:r>
              <w:rPr>
                <w:rFonts w:ascii="Symbol" w:hAnsi="Symbol"/>
              </w:rPr>
              <w:t></w:t>
            </w:r>
            <w:r>
              <w:t>М</w:t>
            </w:r>
            <w:r>
              <w:rPr>
                <w:rFonts w:ascii="Symbol" w:hAnsi="Symbol"/>
              </w:rPr>
              <w:t></w:t>
            </w:r>
            <w:r>
              <w:rPr>
                <w:rFonts w:ascii="Symbol" w:hAnsi="Symbol"/>
              </w:rPr>
              <w:t></w:t>
            </w:r>
            <w:r>
              <w:t>100</w:t>
            </w:r>
            <w:r>
              <w:rPr>
                <w:rFonts w:ascii="Symbol" w:hAnsi="Symbol"/>
              </w:rPr>
              <w:t>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35ED0" w:rsidRDefault="00435ED0">
            <w:pPr>
              <w:pStyle w:val="Mystyle"/>
            </w:pPr>
          </w:p>
        </w:tc>
      </w:tr>
    </w:tbl>
    <w:p w:rsidR="00435ED0" w:rsidRDefault="00435ED0">
      <w:pPr>
        <w:pStyle w:val="Mystyle"/>
      </w:pPr>
    </w:p>
    <w:p w:rsidR="00435ED0" w:rsidRDefault="00043C31">
      <w:pPr>
        <w:pStyle w:val="Mystyle"/>
      </w:pPr>
      <w:r>
        <w:t xml:space="preserve">Если общая величина предпринимательского риска - </w:t>
      </w:r>
      <w:r>
        <w:rPr>
          <w:lang w:val="en-US"/>
        </w:rPr>
        <w:t>R,</w:t>
      </w:r>
      <w:r>
        <w:t xml:space="preserve"> лежит в пределах: 0 - 15%, то это зона незначительного риска; 15 - 30%, то это зона допустимого риска; 30 - 50%, то это зона повышенного риска; 50 - 75%, то это зона критического риска; от 75 до 100%, то это зона катастрофического риска. </w:t>
      </w:r>
    </w:p>
    <w:p w:rsidR="00435ED0" w:rsidRDefault="00435ED0">
      <w:pPr>
        <w:pStyle w:val="Mystyle"/>
      </w:pPr>
      <w:bookmarkStart w:id="0" w:name="_GoBack"/>
      <w:bookmarkEnd w:id="0"/>
    </w:p>
    <w:sectPr w:rsidR="00435ED0">
      <w:headerReference w:type="default" r:id="rId7"/>
      <w:headerReference w:type="first" r:id="rId8"/>
      <w:footnotePr>
        <w:pos w:val="beneathText"/>
      </w:footnotePr>
      <w:pgSz w:w="11905" w:h="16837"/>
      <w:pgMar w:top="1134" w:right="794" w:bottom="1418" w:left="1531" w:header="709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ED0" w:rsidRDefault="00043C31">
      <w:r>
        <w:separator/>
      </w:r>
    </w:p>
  </w:endnote>
  <w:endnote w:type="continuationSeparator" w:id="0">
    <w:p w:rsidR="00435ED0" w:rsidRDefault="00043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nt276">
    <w:charset w:val="8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Nimbus Sans L">
    <w:altName w:val="Arial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ED0" w:rsidRDefault="00043C31">
      <w:r>
        <w:separator/>
      </w:r>
    </w:p>
  </w:footnote>
  <w:footnote w:type="continuationSeparator" w:id="0">
    <w:p w:rsidR="00435ED0" w:rsidRDefault="00043C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ED0" w:rsidRDefault="00BD3E6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18.95pt;height:11.5pt;z-index:251657728;mso-wrap-distance-left:0;mso-wrap-distance-right:0;mso-position-horizontal:center;mso-position-horizontal-relative:margin;mso-position-vertical:absolute;mso-position-vertical-relative:text" stroked="f">
          <v:fill opacity="0" color2="black"/>
          <v:textbox inset="0,0,0,0">
            <w:txbxContent>
              <w:p w:rsidR="00435ED0" w:rsidRDefault="00043C31">
                <w:pPr>
                  <w:pStyle w:val="ab"/>
                </w:pPr>
                <w:r>
                  <w:fldChar w:fldCharType="begin"/>
                </w:r>
                <w:r>
                  <w:instrText xml:space="preserve"> PAGE \*Arabic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type="square" anchorx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ED0" w:rsidRDefault="00435ED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43C31"/>
    <w:rsid w:val="00043C31"/>
    <w:rsid w:val="00435ED0"/>
    <w:rsid w:val="00BD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ecimalSymbol w:val=","/>
  <w:listSeparator w:val=";"/>
  <w15:chartTrackingRefBased/>
  <w15:docId w15:val="{A94E9DDE-6840-4296-89AD-ADA053DC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31">
    <w:name w:val="RTF_Num 3 1"/>
  </w:style>
  <w:style w:type="character" w:customStyle="1" w:styleId="RTFNum41">
    <w:name w:val="RTF_Num 4 1"/>
    <w:rPr>
      <w:rFonts w:ascii="Wingdings" w:eastAsia="Wingdings" w:hAnsi="Wingdings" w:cs="Wingdings"/>
      <w:sz w:val="18"/>
      <w:szCs w:val="18"/>
    </w:rPr>
  </w:style>
  <w:style w:type="character" w:customStyle="1" w:styleId="RTFNum51">
    <w:name w:val="RTF_Num 5 1"/>
    <w:rPr>
      <w:rFonts w:ascii="Wingdings" w:eastAsia="Wingdings" w:hAnsi="Wingdings" w:cs="Wingdings"/>
    </w:rPr>
  </w:style>
  <w:style w:type="character" w:customStyle="1" w:styleId="RTFNum61">
    <w:name w:val="RTF_Num 6 1"/>
    <w:rPr>
      <w:rFonts w:ascii="Wingdings" w:eastAsia="Wingdings" w:hAnsi="Wingdings" w:cs="Wingdings"/>
    </w:rPr>
  </w:style>
  <w:style w:type="character" w:customStyle="1" w:styleId="RTFNum71">
    <w:name w:val="RTF_Num 7 1"/>
  </w:style>
  <w:style w:type="character" w:customStyle="1" w:styleId="RTFNum81">
    <w:name w:val="RTF_Num 8 1"/>
  </w:style>
  <w:style w:type="character" w:customStyle="1" w:styleId="RTFNum91">
    <w:name w:val="RTF_Num 9 1"/>
  </w:style>
  <w:style w:type="character" w:customStyle="1" w:styleId="RTFNum101">
    <w:name w:val="RTF_Num 10 1"/>
  </w:style>
  <w:style w:type="character" w:customStyle="1" w:styleId="RTFNum111">
    <w:name w:val="RTF_Num 11 1"/>
    <w:rPr>
      <w:rFonts w:ascii="font276" w:eastAsia="font276" w:hAnsi="font276" w:cs="font276"/>
    </w:rPr>
  </w:style>
  <w:style w:type="character" w:customStyle="1" w:styleId="RTFNum121">
    <w:name w:val="RTF_Num 12 1"/>
  </w:style>
  <w:style w:type="character" w:customStyle="1" w:styleId="RTFNum131">
    <w:name w:val="RTF_Num 13 1"/>
  </w:style>
  <w:style w:type="character" w:customStyle="1" w:styleId="RTFNum141">
    <w:name w:val="RTF_Num 14 1"/>
  </w:style>
  <w:style w:type="character" w:customStyle="1" w:styleId="RTFNum151">
    <w:name w:val="RTF_Num 15 1"/>
    <w:rPr>
      <w:rFonts w:ascii="Wingdings" w:eastAsia="Wingdings" w:hAnsi="Wingdings" w:cs="Wingdings"/>
    </w:rPr>
  </w:style>
  <w:style w:type="character" w:customStyle="1" w:styleId="RTFNum161">
    <w:name w:val="RTF_Num 16 1"/>
  </w:style>
  <w:style w:type="character" w:customStyle="1" w:styleId="RTFNum171">
    <w:name w:val="RTF_Num 17 1"/>
  </w:style>
  <w:style w:type="character" w:customStyle="1" w:styleId="RTFNum181">
    <w:name w:val="RTF_Num 18 1"/>
  </w:style>
  <w:style w:type="character" w:customStyle="1" w:styleId="RTFNum191">
    <w:name w:val="RTF_Num 19 1"/>
    <w:rPr>
      <w:rFonts w:ascii="Symbol" w:eastAsia="Symbol" w:hAnsi="Symbol" w:cs="Symbol"/>
    </w:rPr>
  </w:style>
  <w:style w:type="character" w:customStyle="1" w:styleId="RTFNum201">
    <w:name w:val="RTF_Num 20 1"/>
  </w:style>
  <w:style w:type="character" w:customStyle="1" w:styleId="RTFNum211">
    <w:name w:val="RTF_Num 21 1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u w:val="none"/>
    </w:rPr>
  </w:style>
  <w:style w:type="character" w:customStyle="1" w:styleId="RTFNum221">
    <w:name w:val="RTF_Num 22 1"/>
  </w:style>
  <w:style w:type="character" w:customStyle="1" w:styleId="RTFNum231">
    <w:name w:val="RTF_Num 23 1"/>
  </w:style>
  <w:style w:type="character" w:customStyle="1" w:styleId="RTFNum241">
    <w:name w:val="RTF_Num 24 1"/>
    <w:rPr>
      <w:rFonts w:ascii="Symbol" w:eastAsia="Symbol" w:hAnsi="Symbol" w:cs="Symbol"/>
      <w:sz w:val="20"/>
      <w:szCs w:val="20"/>
    </w:rPr>
  </w:style>
  <w:style w:type="character" w:customStyle="1" w:styleId="RTFNum251">
    <w:name w:val="RTF_Num 25 1"/>
  </w:style>
  <w:style w:type="character" w:customStyle="1" w:styleId="RTFNum261">
    <w:name w:val="RTF_Num 26 1"/>
    <w:rPr>
      <w:rFonts w:ascii="Wingdings" w:eastAsia="Wingdings" w:hAnsi="Wingdings" w:cs="Wingdings"/>
    </w:rPr>
  </w:style>
  <w:style w:type="character" w:customStyle="1" w:styleId="RTFNum271">
    <w:name w:val="RTF_Num 27 1"/>
  </w:style>
  <w:style w:type="character" w:customStyle="1" w:styleId="RTFNum281">
    <w:name w:val="RTF_Num 28 1"/>
  </w:style>
  <w:style w:type="character" w:customStyle="1" w:styleId="RTFNum291">
    <w:name w:val="RTF_Num 29 1"/>
    <w:rPr>
      <w:rFonts w:ascii="Wingdings" w:eastAsia="Wingdings" w:hAnsi="Wingdings" w:cs="Wingdings"/>
    </w:rPr>
  </w:style>
  <w:style w:type="character" w:customStyle="1" w:styleId="RTFNum301">
    <w:name w:val="RTF_Num 30 1"/>
  </w:style>
  <w:style w:type="character" w:customStyle="1" w:styleId="RTFNum311">
    <w:name w:val="RTF_Num 31 1"/>
  </w:style>
  <w:style w:type="character" w:customStyle="1" w:styleId="RTFNum321">
    <w:name w:val="RTF_Num 32 1"/>
    <w:rPr>
      <w:rFonts w:ascii="Wingdings" w:eastAsia="Wingdings" w:hAnsi="Wingdings" w:cs="Wingdings"/>
    </w:rPr>
  </w:style>
  <w:style w:type="character" w:customStyle="1" w:styleId="RTFNum331">
    <w:name w:val="RTF_Num 33 1"/>
  </w:style>
  <w:style w:type="character" w:customStyle="1" w:styleId="RTFNum341">
    <w:name w:val="RTF_Num 34 1"/>
  </w:style>
  <w:style w:type="character" w:customStyle="1" w:styleId="RTFNum351">
    <w:name w:val="RTF_Num 35 1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u w:val="none"/>
    </w:rPr>
  </w:style>
  <w:style w:type="character" w:customStyle="1" w:styleId="RTFNum361">
    <w:name w:val="RTF_Num 36 1"/>
    <w:rPr>
      <w:rFonts w:ascii="Wingdings" w:eastAsia="Wingdings" w:hAnsi="Wingdings" w:cs="Wingdings"/>
    </w:rPr>
  </w:style>
  <w:style w:type="character" w:customStyle="1" w:styleId="RTFNum371">
    <w:name w:val="RTF_Num 37 1"/>
  </w:style>
  <w:style w:type="character" w:customStyle="1" w:styleId="RTFNum381">
    <w:name w:val="RTF_Num 38 1"/>
  </w:style>
  <w:style w:type="character" w:customStyle="1" w:styleId="RTFNum391">
    <w:name w:val="RTF_Num 39 1"/>
  </w:style>
  <w:style w:type="character" w:customStyle="1" w:styleId="RTFNum401">
    <w:name w:val="RTF_Num 40 1"/>
  </w:style>
  <w:style w:type="character" w:customStyle="1" w:styleId="RTFNum411">
    <w:name w:val="RTF_Num 41 1"/>
    <w:rPr>
      <w:rFonts w:ascii="Wingdings" w:eastAsia="Wingdings" w:hAnsi="Wingdings" w:cs="Wingdings"/>
    </w:rPr>
  </w:style>
  <w:style w:type="character" w:customStyle="1" w:styleId="RTFNum421">
    <w:name w:val="RTF_Num 42 1"/>
  </w:style>
  <w:style w:type="character" w:customStyle="1" w:styleId="RTFNum431">
    <w:name w:val="RTF_Num 43 1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u w:val="none"/>
    </w:rPr>
  </w:style>
  <w:style w:type="character" w:customStyle="1" w:styleId="RTFNum441">
    <w:name w:val="RTF_Num 44 1"/>
    <w:rPr>
      <w:rFonts w:ascii="Wingdings" w:eastAsia="Wingdings" w:hAnsi="Wingdings" w:cs="Wingdings"/>
    </w:rPr>
  </w:style>
  <w:style w:type="character" w:customStyle="1" w:styleId="RTFNum451">
    <w:name w:val="RTF_Num 45 1"/>
    <w:rPr>
      <w:rFonts w:ascii="Wingdings" w:eastAsia="Wingdings" w:hAnsi="Wingdings" w:cs="Wingdings"/>
    </w:rPr>
  </w:style>
  <w:style w:type="character" w:customStyle="1" w:styleId="RTFNum461">
    <w:name w:val="RTF_Num 46 1"/>
    <w:rPr>
      <w:rFonts w:ascii="Wingdings" w:eastAsia="Wingdings" w:hAnsi="Wingdings" w:cs="Wingdings"/>
    </w:rPr>
  </w:style>
  <w:style w:type="character" w:customStyle="1" w:styleId="RTFNum471">
    <w:name w:val="RTF_Num 47 1"/>
  </w:style>
  <w:style w:type="character" w:customStyle="1" w:styleId="RTFNum481">
    <w:name w:val="RTF_Num 48 1"/>
  </w:style>
  <w:style w:type="character" w:customStyle="1" w:styleId="RTFNum491">
    <w:name w:val="RTF_Num 49 1"/>
    <w:rPr>
      <w:rFonts w:ascii="Wingdings" w:eastAsia="Wingdings" w:hAnsi="Wingdings" w:cs="Wingdings"/>
    </w:rPr>
  </w:style>
  <w:style w:type="character" w:customStyle="1" w:styleId="RTFNum501">
    <w:name w:val="RTF_Num 50 1"/>
  </w:style>
  <w:style w:type="character" w:customStyle="1" w:styleId="RTFNum511">
    <w:name w:val="RTF_Num 51 1"/>
  </w:style>
  <w:style w:type="character" w:customStyle="1" w:styleId="RTFNum521">
    <w:name w:val="RTF_Num 52 1"/>
  </w:style>
  <w:style w:type="character" w:customStyle="1" w:styleId="RTFNum531">
    <w:name w:val="RTF_Num 53 1"/>
    <w:rPr>
      <w:rFonts w:ascii="Wingdings" w:eastAsia="Wingdings" w:hAnsi="Wingdings" w:cs="Wingdings"/>
    </w:rPr>
  </w:style>
  <w:style w:type="character" w:customStyle="1" w:styleId="RTFNum541">
    <w:name w:val="RTF_Num 54 1"/>
  </w:style>
  <w:style w:type="character" w:customStyle="1" w:styleId="a3">
    <w:name w:val="Îñíîâíîé øðèôò"/>
  </w:style>
  <w:style w:type="character" w:customStyle="1" w:styleId="a4">
    <w:name w:val="íîìåð ñòðàíèöû"/>
    <w:basedOn w:val="a3"/>
  </w:style>
  <w:style w:type="character" w:customStyle="1" w:styleId="a5">
    <w:name w:val="Ãèïåðññûëêà"/>
    <w:basedOn w:val="a3"/>
    <w:rPr>
      <w:color w:val="0000FF"/>
      <w:u w:val="single"/>
    </w:rPr>
  </w:style>
  <w:style w:type="paragraph" w:customStyle="1" w:styleId="Heading">
    <w:name w:val="Heading"/>
    <w:basedOn w:val="a"/>
    <w:next w:val="a6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a6">
    <w:name w:val="Body Text"/>
    <w:basedOn w:val="a"/>
    <w:semiHidden/>
    <w:pPr>
      <w:spacing w:after="120"/>
    </w:pPr>
  </w:style>
  <w:style w:type="paragraph" w:styleId="a7">
    <w:name w:val="List"/>
    <w:basedOn w:val="a6"/>
    <w:semiHidden/>
    <w:rPr>
      <w:rFonts w:cs="Nimbus Sans L"/>
    </w:rPr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</w:rPr>
  </w:style>
  <w:style w:type="paragraph" w:customStyle="1" w:styleId="Index">
    <w:name w:val="Index"/>
    <w:basedOn w:val="a"/>
    <w:pPr>
      <w:suppressLineNumbers/>
    </w:pPr>
    <w:rPr>
      <w:rFonts w:cs="Nimbus Sans L"/>
    </w:rPr>
  </w:style>
  <w:style w:type="paragraph" w:customStyle="1" w:styleId="a8">
    <w:name w:val="Îáû÷íûé"/>
    <w:pPr>
      <w:widowControl w:val="0"/>
      <w:suppressAutoHyphens/>
      <w:autoSpaceDE w:val="0"/>
    </w:pPr>
    <w:rPr>
      <w:lang w:eastAsia="en-US" w:bidi="en-US"/>
    </w:rPr>
  </w:style>
  <w:style w:type="paragraph" w:customStyle="1" w:styleId="10">
    <w:name w:val="çàãîëîâîê 1"/>
    <w:basedOn w:val="a8"/>
    <w:next w:val="a8"/>
    <w:pPr>
      <w:keepNext/>
      <w:spacing w:before="240" w:after="60"/>
    </w:pPr>
    <w:rPr>
      <w:rFonts w:ascii="Arial" w:eastAsia="Arial" w:hAnsi="Arial" w:cs="Arial"/>
      <w:b/>
      <w:bCs/>
      <w:kern w:val="1"/>
      <w:sz w:val="28"/>
      <w:szCs w:val="28"/>
    </w:rPr>
  </w:style>
  <w:style w:type="paragraph" w:customStyle="1" w:styleId="2">
    <w:name w:val="çàãîëîâîê 2"/>
    <w:basedOn w:val="a8"/>
    <w:next w:val="a8"/>
    <w:pPr>
      <w:keepNext/>
      <w:numPr>
        <w:ilvl w:val="1"/>
        <w:numId w:val="1"/>
      </w:numPr>
      <w:spacing w:before="240" w:after="60"/>
      <w:outlineLvl w:val="1"/>
    </w:pPr>
    <w:rPr>
      <w:rFonts w:ascii="Arial" w:eastAsia="Arial" w:hAnsi="Arial" w:cs="Arial"/>
      <w:b/>
      <w:bCs/>
      <w:i/>
      <w:iCs/>
      <w:sz w:val="24"/>
      <w:szCs w:val="24"/>
    </w:rPr>
  </w:style>
  <w:style w:type="paragraph" w:customStyle="1" w:styleId="3">
    <w:name w:val="çàãîëîâîê 3"/>
    <w:basedOn w:val="a8"/>
    <w:next w:val="a8"/>
    <w:pPr>
      <w:keepNext/>
      <w:numPr>
        <w:ilvl w:val="2"/>
        <w:numId w:val="1"/>
      </w:numPr>
      <w:jc w:val="both"/>
      <w:outlineLvl w:val="2"/>
    </w:pPr>
    <w:rPr>
      <w:sz w:val="28"/>
      <w:szCs w:val="28"/>
    </w:rPr>
  </w:style>
  <w:style w:type="paragraph" w:customStyle="1" w:styleId="4">
    <w:name w:val="çàãîëîâîê 4"/>
    <w:basedOn w:val="a8"/>
    <w:next w:val="a8"/>
    <w:pPr>
      <w:keepNext/>
      <w:numPr>
        <w:ilvl w:val="3"/>
        <w:numId w:val="1"/>
      </w:numPr>
      <w:jc w:val="center"/>
      <w:outlineLvl w:val="3"/>
    </w:pPr>
    <w:rPr>
      <w:b/>
      <w:bCs/>
      <w:sz w:val="28"/>
      <w:szCs w:val="28"/>
    </w:rPr>
  </w:style>
  <w:style w:type="paragraph" w:customStyle="1" w:styleId="8">
    <w:name w:val="çàãîëîâîê 8"/>
    <w:basedOn w:val="a8"/>
    <w:next w:val="a8"/>
    <w:pPr>
      <w:spacing w:before="240" w:after="60"/>
    </w:pPr>
    <w:rPr>
      <w:rFonts w:ascii="Arial" w:eastAsia="Arial" w:hAnsi="Arial" w:cs="Arial"/>
      <w:i/>
      <w:iCs/>
    </w:rPr>
  </w:style>
  <w:style w:type="paragraph" w:customStyle="1" w:styleId="a9">
    <w:name w:val="Îñíîâíîé òåêñò"/>
    <w:basedOn w:val="a8"/>
    <w:pPr>
      <w:jc w:val="both"/>
    </w:pPr>
    <w:rPr>
      <w:rFonts w:ascii="Courier New" w:eastAsia="Courier New" w:hAnsi="Courier New" w:cs="Courier New"/>
      <w:b/>
      <w:bCs/>
      <w:sz w:val="24"/>
      <w:szCs w:val="24"/>
    </w:rPr>
  </w:style>
  <w:style w:type="paragraph" w:customStyle="1" w:styleId="20">
    <w:name w:val="Îñíîâíîé òåêñò 2"/>
    <w:basedOn w:val="a8"/>
    <w:pPr>
      <w:jc w:val="both"/>
    </w:pPr>
    <w:rPr>
      <w:sz w:val="24"/>
      <w:szCs w:val="24"/>
    </w:rPr>
  </w:style>
  <w:style w:type="paragraph" w:customStyle="1" w:styleId="Mystyle">
    <w:name w:val="Mystyle"/>
    <w:basedOn w:val="a9"/>
    <w:pPr>
      <w:spacing w:before="120"/>
      <w:ind w:firstLine="567"/>
    </w:pPr>
    <w:rPr>
      <w:rFonts w:ascii="Times New Roman" w:eastAsia="Times New Roman" w:hAnsi="Times New Roman" w:cs="Times New Roman"/>
      <w:b w:val="0"/>
      <w:bCs w:val="0"/>
    </w:rPr>
  </w:style>
  <w:style w:type="paragraph" w:customStyle="1" w:styleId="21">
    <w:name w:val="Îñíîâíîé òåêñò ñ îòñòóïîì 2"/>
    <w:basedOn w:val="a8"/>
    <w:pPr>
      <w:spacing w:line="240" w:lineRule="atLeast"/>
      <w:ind w:firstLine="320"/>
    </w:pPr>
    <w:rPr>
      <w:sz w:val="24"/>
      <w:szCs w:val="24"/>
    </w:rPr>
  </w:style>
  <w:style w:type="paragraph" w:customStyle="1" w:styleId="30">
    <w:name w:val="Îñíîâíîé òåêñò ñ îòñòóïîì 3"/>
    <w:basedOn w:val="a8"/>
    <w:pPr>
      <w:spacing w:before="40" w:line="240" w:lineRule="atLeast"/>
      <w:ind w:firstLine="360"/>
    </w:pPr>
    <w:rPr>
      <w:sz w:val="24"/>
      <w:szCs w:val="24"/>
    </w:rPr>
  </w:style>
  <w:style w:type="paragraph" w:customStyle="1" w:styleId="aa">
    <w:name w:val="Íèæíèé êîëîíòèòóë"/>
    <w:basedOn w:val="a8"/>
    <w:pPr>
      <w:tabs>
        <w:tab w:val="center" w:pos="4153"/>
        <w:tab w:val="right" w:pos="8306"/>
      </w:tabs>
    </w:pPr>
  </w:style>
  <w:style w:type="paragraph" w:customStyle="1" w:styleId="11">
    <w:name w:val="îãëàâëåíèå 1"/>
    <w:basedOn w:val="a8"/>
    <w:next w:val="a8"/>
  </w:style>
  <w:style w:type="paragraph" w:customStyle="1" w:styleId="22">
    <w:name w:val="îãëàâëåíèå 2"/>
    <w:basedOn w:val="a8"/>
    <w:next w:val="a8"/>
    <w:pPr>
      <w:tabs>
        <w:tab w:val="right" w:leader="dot" w:pos="4536"/>
      </w:tabs>
      <w:ind w:left="142"/>
    </w:pPr>
    <w:rPr>
      <w:sz w:val="10"/>
      <w:szCs w:val="10"/>
    </w:rPr>
  </w:style>
  <w:style w:type="paragraph" w:customStyle="1" w:styleId="31">
    <w:name w:val="îãëàâëåíèå 3"/>
    <w:basedOn w:val="a8"/>
    <w:next w:val="a8"/>
    <w:pPr>
      <w:ind w:left="400"/>
    </w:pPr>
  </w:style>
  <w:style w:type="paragraph" w:customStyle="1" w:styleId="40">
    <w:name w:val="îãëàâëåíèå 4"/>
    <w:basedOn w:val="a8"/>
    <w:next w:val="a8"/>
    <w:pPr>
      <w:ind w:left="600"/>
    </w:pPr>
  </w:style>
  <w:style w:type="paragraph" w:customStyle="1" w:styleId="5">
    <w:name w:val="îãëàâëåíèå 5"/>
    <w:basedOn w:val="a8"/>
    <w:next w:val="a8"/>
    <w:pPr>
      <w:ind w:left="800"/>
    </w:pPr>
  </w:style>
  <w:style w:type="paragraph" w:customStyle="1" w:styleId="6">
    <w:name w:val="îãëàâëåíèå 6"/>
    <w:basedOn w:val="a8"/>
    <w:next w:val="a8"/>
    <w:pPr>
      <w:ind w:left="1000"/>
    </w:pPr>
  </w:style>
  <w:style w:type="paragraph" w:customStyle="1" w:styleId="7">
    <w:name w:val="îãëàâëåíèå 7"/>
    <w:basedOn w:val="a8"/>
    <w:next w:val="a8"/>
    <w:pPr>
      <w:ind w:left="1200"/>
    </w:pPr>
  </w:style>
  <w:style w:type="paragraph" w:customStyle="1" w:styleId="80">
    <w:name w:val="îãëàâëåíèå 8"/>
    <w:basedOn w:val="a8"/>
    <w:next w:val="a8"/>
    <w:pPr>
      <w:ind w:left="1400"/>
    </w:pPr>
  </w:style>
  <w:style w:type="paragraph" w:customStyle="1" w:styleId="9">
    <w:name w:val="îãëàâëåíèå 9"/>
    <w:basedOn w:val="a8"/>
    <w:next w:val="a8"/>
    <w:pPr>
      <w:ind w:left="1600"/>
    </w:pPr>
  </w:style>
  <w:style w:type="paragraph" w:customStyle="1" w:styleId="ab">
    <w:name w:val="Âåðõíèé êîëîíòèòóë"/>
    <w:basedOn w:val="a8"/>
    <w:pPr>
      <w:tabs>
        <w:tab w:val="center" w:pos="4153"/>
        <w:tab w:val="right" w:pos="8306"/>
      </w:tabs>
    </w:pPr>
  </w:style>
  <w:style w:type="paragraph" w:customStyle="1" w:styleId="WW-2">
    <w:name w:val="WW-Îñíîâíîé òåêñò 2"/>
    <w:basedOn w:val="a8"/>
    <w:pPr>
      <w:pBdr>
        <w:bottom w:val="double" w:sz="1" w:space="20" w:color="000000"/>
      </w:pBdr>
      <w:jc w:val="center"/>
    </w:pPr>
    <w:rPr>
      <w:b/>
      <w:bCs/>
      <w:sz w:val="28"/>
      <w:szCs w:val="28"/>
      <w:u w:val="single"/>
    </w:rPr>
  </w:style>
  <w:style w:type="paragraph" w:customStyle="1" w:styleId="32">
    <w:name w:val="Îñíîâíîé òåêñò 3"/>
    <w:basedOn w:val="a8"/>
    <w:pPr>
      <w:pBdr>
        <w:bottom w:val="double" w:sz="1" w:space="31" w:color="000000"/>
      </w:pBdr>
      <w:jc w:val="both"/>
    </w:pPr>
    <w:rPr>
      <w:sz w:val="24"/>
      <w:szCs w:val="24"/>
    </w:rPr>
  </w:style>
  <w:style w:type="paragraph" w:styleId="ac">
    <w:name w:val="header"/>
    <w:basedOn w:val="a"/>
    <w:semiHidden/>
    <w:pPr>
      <w:suppressLineNumbers/>
      <w:tabs>
        <w:tab w:val="center" w:pos="4791"/>
        <w:tab w:val="right" w:pos="9582"/>
      </w:tabs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3556</Words>
  <Characters>20271</Characters>
  <Application>Microsoft Office Word</Application>
  <DocSecurity>0</DocSecurity>
  <Lines>168</Lines>
  <Paragraphs>47</Paragraphs>
  <ScaleCrop>false</ScaleCrop>
  <Company/>
  <LinksUpToDate>false</LinksUpToDate>
  <CharactersWithSpaces>23780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2014-04-03T01:46:00Z</dcterms:created>
  <dcterms:modified xsi:type="dcterms:W3CDTF">2014-04-03T01:46:00Z</dcterms:modified>
</cp:coreProperties>
</file>