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70E" w:rsidRDefault="0059070E">
      <w:pPr>
        <w:pStyle w:val="20"/>
        <w:jc w:val="center"/>
        <w:rPr>
          <w:rFonts w:ascii="Courier Cyr" w:hAnsi="Courier Cyr" w:cs="Courier Cyr"/>
          <w:b/>
          <w:bCs/>
          <w:sz w:val="28"/>
          <w:szCs w:val="28"/>
        </w:rPr>
      </w:pPr>
      <w:r>
        <w:rPr>
          <w:rFonts w:ascii="Courier Cyr" w:hAnsi="Courier Cyr" w:cs="Courier Cyr"/>
          <w:b/>
          <w:bCs/>
          <w:sz w:val="28"/>
          <w:szCs w:val="28"/>
        </w:rPr>
        <w:t>АНАЛИЗ КРИЗИСНЫХ ЯВЛЕНИЙ В ЭКОНОМИЧЕСКОМ РАЗВИТИИ РОССИИ</w:t>
      </w:r>
    </w:p>
    <w:p w:rsidR="0059070E" w:rsidRDefault="0059070E">
      <w:pPr>
        <w:pStyle w:val="20"/>
        <w:ind w:left="2160"/>
        <w:rPr>
          <w:rFonts w:ascii="Courier Cyr" w:hAnsi="Courier Cyr" w:cs="Courier Cyr"/>
          <w:b/>
          <w:bCs/>
          <w:sz w:val="28"/>
          <w:szCs w:val="28"/>
        </w:rPr>
      </w:pPr>
      <w:r>
        <w:rPr>
          <w:rFonts w:ascii="Courier Cyr" w:hAnsi="Courier Cyr" w:cs="Courier Cyr"/>
          <w:b/>
          <w:bCs/>
          <w:sz w:val="28"/>
          <w:szCs w:val="28"/>
        </w:rPr>
        <w:t xml:space="preserve"> содержание</w:t>
      </w:r>
    </w:p>
    <w:p w:rsidR="0059070E" w:rsidRDefault="0059070E">
      <w:pPr>
        <w:pStyle w:val="20"/>
        <w:rPr>
          <w:b/>
          <w:bCs/>
          <w:sz w:val="28"/>
          <w:szCs w:val="28"/>
        </w:rPr>
      </w:pPr>
    </w:p>
    <w:tbl>
      <w:tblPr>
        <w:tblW w:w="0" w:type="auto"/>
        <w:tblInd w:w="601" w:type="dxa"/>
        <w:tblLayout w:type="fixed"/>
        <w:tblLook w:val="0000" w:firstRow="0" w:lastRow="0" w:firstColumn="0" w:lastColumn="0" w:noHBand="0" w:noVBand="0"/>
      </w:tblPr>
      <w:tblGrid>
        <w:gridCol w:w="5961"/>
        <w:gridCol w:w="1222"/>
      </w:tblGrid>
      <w:tr w:rsidR="0059070E">
        <w:trPr>
          <w:trHeight w:val="854"/>
        </w:trPr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rFonts w:ascii="Courier Cyr" w:hAnsi="Courier Cyr" w:cs="Courier Cyr"/>
                <w:b/>
                <w:bCs/>
                <w:sz w:val="28"/>
                <w:szCs w:val="28"/>
              </w:rPr>
            </w:pPr>
            <w:r>
              <w:rPr>
                <w:rFonts w:ascii="Courier Cyr" w:hAnsi="Courier Cyr" w:cs="Courier Cyr"/>
                <w:b/>
                <w:bCs/>
                <w:sz w:val="28"/>
                <w:szCs w:val="28"/>
              </w:rPr>
              <w:t>Введение………………………………………………………………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59070E">
        <w:trPr>
          <w:trHeight w:val="854"/>
        </w:trPr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rFonts w:ascii="Courier Cyr" w:hAnsi="Courier Cyr" w:cs="Courier Cyr"/>
                <w:b/>
                <w:bCs/>
                <w:snapToGrid w:val="0"/>
                <w:sz w:val="28"/>
                <w:szCs w:val="28"/>
              </w:rPr>
              <w:t>1. ИННОВАЦИОННЫЙ КРИЗИС В РОССИИ…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59070E">
        <w:trPr>
          <w:trHeight w:val="854"/>
        </w:trPr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rFonts w:ascii="Courier Cyr" w:hAnsi="Courier Cyr" w:cs="Courier Cyr"/>
                <w:b/>
                <w:bCs/>
                <w:snapToGrid w:val="0"/>
                <w:sz w:val="28"/>
                <w:szCs w:val="28"/>
              </w:rPr>
              <w:t>2. ОСНОВНЫЕ ПРОБЛЕМЫ В СФЕРЕ ГОСУДАРСТВЕННОГО РЕГУЛИРОВАНИЯ ИННОВАЦИОННОЙ ДЕЯТЕЛЬНОСТИ…………………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</w:p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</w:p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</w:p>
        </w:tc>
      </w:tr>
      <w:tr w:rsidR="0059070E">
        <w:trPr>
          <w:trHeight w:val="854"/>
        </w:trPr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rFonts w:ascii="Courier Cyr" w:hAnsi="Courier Cyr" w:cs="Courier Cyr"/>
                <w:b/>
                <w:bCs/>
                <w:sz w:val="28"/>
                <w:szCs w:val="28"/>
              </w:rPr>
            </w:pPr>
            <w:r>
              <w:rPr>
                <w:rFonts w:ascii="Courier Cyr" w:hAnsi="Courier Cyr" w:cs="Courier Cyr"/>
                <w:b/>
                <w:bCs/>
                <w:sz w:val="28"/>
                <w:szCs w:val="28"/>
              </w:rPr>
              <w:t>Заключение……………………………………………………………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18</w:t>
            </w:r>
          </w:p>
        </w:tc>
      </w:tr>
      <w:tr w:rsidR="0059070E">
        <w:trPr>
          <w:trHeight w:val="854"/>
        </w:trPr>
        <w:tc>
          <w:tcPr>
            <w:tcW w:w="5961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rFonts w:ascii="Courier Cyr" w:hAnsi="Courier Cyr" w:cs="Courier Cyr"/>
                <w:b/>
                <w:bCs/>
                <w:sz w:val="28"/>
                <w:szCs w:val="28"/>
              </w:rPr>
            </w:pPr>
            <w:r>
              <w:rPr>
                <w:rFonts w:ascii="Courier Cyr" w:hAnsi="Courier Cyr" w:cs="Courier Cyr"/>
                <w:b/>
                <w:bCs/>
                <w:sz w:val="28"/>
                <w:szCs w:val="28"/>
              </w:rPr>
              <w:t>Литература……………………………………………………………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9070E" w:rsidRDefault="0059070E">
            <w:pPr>
              <w:pStyle w:val="20"/>
              <w:ind w:firstLine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</w:p>
        </w:tc>
      </w:tr>
    </w:tbl>
    <w:p w:rsidR="0059070E" w:rsidRDefault="0059070E">
      <w:pPr>
        <w:pStyle w:val="20"/>
        <w:rPr>
          <w:rFonts w:ascii="Courier Cyr" w:hAnsi="Courier Cyr" w:cs="Courier Cyr"/>
          <w:b/>
          <w:bCs/>
          <w:sz w:val="28"/>
          <w:szCs w:val="28"/>
        </w:rPr>
      </w:pPr>
      <w:r>
        <w:rPr>
          <w:rFonts w:ascii="Courier Cyr" w:hAnsi="Courier Cyr" w:cs="Courier Cyr"/>
          <w:b/>
          <w:bCs/>
          <w:sz w:val="28"/>
          <w:szCs w:val="28"/>
        </w:rPr>
        <w:br w:type="page"/>
        <w:t>ВВЕДЕНИЕ</w:t>
      </w:r>
    </w:p>
    <w:p w:rsidR="0059070E" w:rsidRDefault="0059070E">
      <w:pPr>
        <w:pStyle w:val="20"/>
        <w:rPr>
          <w:rFonts w:ascii="Courier Cyr" w:hAnsi="Courier Cyr" w:cs="Courier Cyr"/>
        </w:rPr>
      </w:pPr>
      <w:r>
        <w:rPr>
          <w:rFonts w:ascii="Courier Cyr" w:hAnsi="Courier Cyr" w:cs="Courier Cyr"/>
        </w:rPr>
        <w:t>Процесс трансформации российской экономики в рыночную, затянувшийся не на один год, в условиях отсутствия четкой стратегии и тактики реформирования, многочисленных институциональных особенностях российской экономики и российского менталитета, повлек за собой целый спектр кризисных явлений в самых различных сферах и отраслях – спад промышленного производства, бегство капиталов за границу, разрушение научно-интеллектуального потенциала России, кризис неплатежей, девальвация национальной валюты в сочетании с масштабной долларизацией экономики и многие другие. Каждое из этих явлений, его причины и  возможные пути нейтрализации, методы и рычаги государственного воздействия применительно к  каждой сфере, могут послужить (и служат) материалом для обширных исследований как в области теории экономической науки, так и в области практики государственного управления экономикой.</w:t>
      </w:r>
    </w:p>
    <w:p w:rsidR="0059070E" w:rsidRDefault="0059070E">
      <w:pPr>
        <w:pStyle w:val="22"/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 xml:space="preserve">Стоящая сегодня перед Россией проблема выхода из экономического кризиса и достижения экономического роста требует  системного  подхода  к  решению научно-технических, социальных, экономических,      политических, структурно-воспроизводственных, институциональных, правовых, международных, отраслевых и региональных аспектов проводимых реформ. При этом очень важно учитывать то обстоятельство, что </w:t>
      </w:r>
      <w:r>
        <w:rPr>
          <w:rFonts w:ascii="Courier Cyr" w:hAnsi="Courier Cyr" w:cs="Courier Cyr"/>
          <w:i/>
          <w:iCs/>
          <w:sz w:val="26"/>
          <w:szCs w:val="26"/>
        </w:rPr>
        <w:t>одним из определяющих элементов формирования экономической системы государства, ее скелетной, несущей основой, является  развитие науки</w:t>
      </w:r>
      <w:r>
        <w:rPr>
          <w:rFonts w:ascii="Courier Cyr" w:hAnsi="Courier Cyr" w:cs="Courier Cyr"/>
          <w:sz w:val="26"/>
          <w:szCs w:val="26"/>
        </w:rPr>
        <w:t>. При этом крайне важным является сохранение возможности проведения самостоятельной инновационо-структурной политики, ориентированной на технологический прорыв, вместе с передовыми Европейскими странами, в постиндустриальную эпоху.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  <w:r>
        <w:rPr>
          <w:rFonts w:ascii="Courier Cyr" w:hAnsi="Courier Cyr" w:cs="Courier Cyr"/>
          <w:i/>
          <w:iCs/>
          <w:snapToGrid w:val="0"/>
          <w:sz w:val="26"/>
          <w:szCs w:val="26"/>
        </w:rPr>
        <w:t>Именно развитие НТП, инновации, более совершенная структура воспроизводства - главные составляющие политики государства и его интересов в достижении экономической стабильности. На первый план при этом всегда выдвигаются быстрые структурные изменения в производстве, технологиях, в потребительских свойствах продукции</w:t>
      </w:r>
      <w:r>
        <w:rPr>
          <w:rFonts w:ascii="Courier" w:hAnsi="Courier" w:cs="Courier"/>
          <w:snapToGrid w:val="0"/>
          <w:sz w:val="26"/>
          <w:szCs w:val="26"/>
        </w:rPr>
        <w:t>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 xml:space="preserve">Однако развитие науки на современном этапе в России сталкивается    со многими трудностями. В настоящей работе мы рассмотрим   эту проблему на примере </w:t>
      </w:r>
      <w:r>
        <w:rPr>
          <w:rFonts w:ascii="Courier Cyr" w:hAnsi="Courier Cyr" w:cs="Courier Cyr"/>
          <w:i/>
          <w:iCs/>
          <w:snapToGrid w:val="0"/>
          <w:sz w:val="26"/>
          <w:szCs w:val="26"/>
        </w:rPr>
        <w:t>ситуации в инновационной сфере</w:t>
      </w:r>
      <w:r>
        <w:rPr>
          <w:rFonts w:ascii="Courier" w:hAnsi="Courier" w:cs="Courier"/>
          <w:snapToGrid w:val="0"/>
          <w:sz w:val="26"/>
          <w:szCs w:val="26"/>
        </w:rPr>
        <w:t>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</w:p>
    <w:p w:rsidR="0059070E" w:rsidRDefault="0059070E" w:rsidP="0059070E">
      <w:pPr>
        <w:pageBreakBefore/>
        <w:spacing w:line="480" w:lineRule="auto"/>
        <w:ind w:firstLine="720"/>
        <w:jc w:val="both"/>
        <w:rPr>
          <w:rFonts w:ascii="Courier" w:hAnsi="Courier" w:cs="Courier"/>
          <w:b/>
          <w:bCs/>
          <w:snapToGrid w:val="0"/>
          <w:sz w:val="28"/>
          <w:szCs w:val="28"/>
        </w:rPr>
      </w:pPr>
      <w:r>
        <w:rPr>
          <w:rFonts w:ascii="Courier Cyr" w:hAnsi="Courier Cyr" w:cs="Courier Cyr"/>
          <w:b/>
          <w:bCs/>
          <w:snapToGrid w:val="0"/>
          <w:sz w:val="28"/>
          <w:szCs w:val="28"/>
        </w:rPr>
        <w:t>1. ИННОВАЦИОННЫЙ КРИЗИС В РОССИИ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Сегодня Россия как никогда нуждается в новых технологиях, структурном и  техническом обновлении производственного аппарата. Это требует большого вклада науки и огромных капитальных вложений. Но именно это не предусмотрено программами реформ. Идет процесс свертывания как научного потенциала страны, так и инвестиционных процессов. Мы собираемся на равных включаться в мировой рынок, в мировую экономику, шагнувшую в постиндустриальную эпоху, имея в промышленном парке России оборудование, отработавшее уже 6-10 лет-28%, 11-15 лет - 21%, более 15 лет-16%. Степень износа основных производственных фондов в 1990 г. оценивалась в 49,8%.</w:t>
      </w:r>
      <w:r>
        <w:rPr>
          <w:rStyle w:val="a4"/>
          <w:rFonts w:ascii="Courier" w:hAnsi="Courier" w:cs="Courier"/>
          <w:snapToGrid w:val="0"/>
          <w:sz w:val="26"/>
          <w:szCs w:val="26"/>
        </w:rPr>
        <w:footnoteReference w:id="1"/>
      </w:r>
      <w:r>
        <w:rPr>
          <w:rFonts w:ascii="Courier Cyr" w:hAnsi="Courier Cyr" w:cs="Courier Cyr"/>
          <w:snapToGrid w:val="0"/>
          <w:sz w:val="26"/>
          <w:szCs w:val="26"/>
        </w:rPr>
        <w:t xml:space="preserve"> Средний коэффициент выбытия активной части оборудования, составляя 2,5-3% в год, не покрывает сроки не только морального старения, но и физического износа, не обеспечивает технологически параметры точности, надежности, качества, безопасности, экологической чистоты. В результате, при большем парке оборудования по сравнению с США, мы имели в 1994 году только 17,8% от США объема ВВП на душу населения (в 1913 году европейская  Россия  имела  21,8%)</w:t>
      </w:r>
      <w:r>
        <w:rPr>
          <w:snapToGrid w:val="0"/>
          <w:sz w:val="26"/>
          <w:szCs w:val="26"/>
          <w:lang w:val="en-US"/>
        </w:rPr>
        <w:t>[1]</w:t>
      </w:r>
      <w:r>
        <w:rPr>
          <w:rFonts w:ascii="Courier Cyr" w:hAnsi="Courier Cyr" w:cs="Courier Cyr"/>
          <w:snapToGrid w:val="0"/>
          <w:sz w:val="26"/>
          <w:szCs w:val="26"/>
        </w:rPr>
        <w:t xml:space="preserve">;  по  производительности  труда  в промышленности и в сельском хозяйстве соотношение ниже более, чем в 2 раза. При этом анализ показывает, что в силу внутренней и внешней политики, воздействующей на проведение реформ, ускоренными темпами разрушается потенциал пятого технологического уклада и заморожены научно-технические наработки шестого уклада, являющегося базой нового этапа НТР. 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 xml:space="preserve">Все попытки решить проблему без принципиально новой научно-технической и структурно-инновационной воспроизводственной </w:t>
      </w:r>
      <w:r>
        <w:rPr>
          <w:rFonts w:ascii="Courier Cyr" w:hAnsi="Courier Cyr" w:cs="Courier Cyr"/>
          <w:i/>
          <w:iCs/>
          <w:snapToGrid w:val="0"/>
          <w:sz w:val="26"/>
          <w:szCs w:val="26"/>
        </w:rPr>
        <w:t>концепции</w:t>
      </w:r>
      <w:r>
        <w:rPr>
          <w:rFonts w:ascii="Courier Cyr" w:hAnsi="Courier Cyr" w:cs="Courier Cyr"/>
          <w:snapToGrid w:val="0"/>
          <w:sz w:val="26"/>
          <w:szCs w:val="26"/>
        </w:rPr>
        <w:t xml:space="preserve"> и цели развития общественной системы на этапе новой НТР, несущей в себе шестой технологический уклад постиндустриального общества с его информатикой, качественными изменениями социальных критериев жизнедеятельности общества, неизбежно терпят провал.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 xml:space="preserve">Сам по себе высокий научно-технический потенциал является необходимым, но еще не достаточным условием для успешного освоения достижений НТП, так же как и их использование в целях ускорения темпов экономического роста, обеспечения высокой конкурентоспособности национальной промышленности, повышения благосостояния народа. Важно добиться полной и эффективной реализации этого потенциала, для чего необходим выход на государственный уровень, </w:t>
      </w:r>
      <w:r>
        <w:rPr>
          <w:rFonts w:ascii="Courier Cyr" w:hAnsi="Courier Cyr" w:cs="Courier Cyr"/>
          <w:i/>
          <w:iCs/>
          <w:snapToGrid w:val="0"/>
          <w:sz w:val="26"/>
          <w:szCs w:val="26"/>
        </w:rPr>
        <w:t>выработка государственной политики научно-технического развития, объединяющей в себе различные элементы научно-технической, инновационной   и промышленной политики</w:t>
      </w:r>
      <w:r>
        <w:rPr>
          <w:rFonts w:ascii="Courier Cyr" w:hAnsi="Courier Cyr" w:cs="Courier Cyr"/>
          <w:snapToGrid w:val="0"/>
          <w:sz w:val="26"/>
          <w:szCs w:val="26"/>
        </w:rPr>
        <w:t>. При этом государственная инновационная политика играет связующую роль между государственной научно-технической и государственной промышленной политикой.</w:t>
      </w:r>
    </w:p>
    <w:p w:rsidR="0059070E" w:rsidRDefault="0059070E">
      <w:pPr>
        <w:pStyle w:val="22"/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Рассматривая специфические особенности формирования структуры ТУ, ученые не всегда увязывают их с критериями технического уровня производства продукции, характеристиками базисных инноваций того или другого этапа становления и развития технологического способа производства, включающего смену направлений совершенствования, поколений, моделей техники, источников энергии и другие изменения. Не всегда учитывается, что технологическая многоукладность складывается под воздействием многих факторов, недостаточный или несвоевременный учет которых приводит к деформациям их структуры, к нерациональной системе производства, технологическим кризисам и, в конечном итоге, к снижению социально-экономической эффективности воспроизводства.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 xml:space="preserve">Экономические реформы в России в конечном итоге споткнулись именно на неспособности преодолеть    технико-технологический,    инновационно-воспроизводственный структурный кризис, проявляющийся в социально-экономической неэффективности производства, неспособности общества преодолеть падение производства и как следствие, социально-экономический системный кризис в России и других странах СНГ. 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i/>
          <w:iCs/>
          <w:snapToGrid w:val="0"/>
          <w:sz w:val="26"/>
          <w:szCs w:val="26"/>
        </w:rPr>
        <w:t>На этапе общего спада производства, хронического экономического и финансового кризиса, к сожалению, стратегия выживания, а не развития, становится доминантой российской политики</w:t>
      </w:r>
      <w:r>
        <w:rPr>
          <w:rFonts w:ascii="Courier Cyr" w:hAnsi="Courier Cyr" w:cs="Courier Cyr"/>
          <w:snapToGrid w:val="0"/>
          <w:sz w:val="26"/>
          <w:szCs w:val="26"/>
        </w:rPr>
        <w:t xml:space="preserve">. На все предложения о корректировке курса научно-технической и социально-экономической деятельности правительства РФ, ориентации на развитие наукоемких отраслей и предприятий, ответ один - нет инвестиционных ресурсов. Отсюда </w:t>
      </w:r>
      <w:r>
        <w:rPr>
          <w:rFonts w:ascii="Courier Cyr" w:hAnsi="Courier Cyr" w:cs="Courier Cyr"/>
          <w:i/>
          <w:iCs/>
          <w:snapToGrid w:val="0"/>
          <w:sz w:val="26"/>
          <w:szCs w:val="26"/>
        </w:rPr>
        <w:t>сохранение ориентации на устаревшие технологии в границах четвертого ТУ, что в свою очередь подавляет возможности становления и развития пятого ТУ</w:t>
      </w:r>
      <w:r>
        <w:rPr>
          <w:rFonts w:ascii="Courier Cyr" w:hAnsi="Courier Cyr" w:cs="Courier Cyr"/>
          <w:snapToGrid w:val="0"/>
          <w:sz w:val="26"/>
          <w:szCs w:val="26"/>
        </w:rPr>
        <w:t>, хотя бы на основе технического перевооружения за счет средств амортизации, не говоря уже даже о сегментных, точечных прорывах по отдельным направлениям шестого ТУ.</w:t>
      </w:r>
    </w:p>
    <w:p w:rsidR="0059070E" w:rsidRDefault="0059070E">
      <w:pPr>
        <w:pStyle w:val="22"/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 xml:space="preserve">В рыночной экономике государственная инновационная политика должна быть направлена на повышение конкурентоспособности национальной промышленности на внутренних и внешних рынках, развитие сферы охраны окружающей среды, обладать способностью мобильной адаптации к структурным и технологическим сдвигам в экономике. Соответственно набор инструментов осуществления политики инновационного развития весьма широк. Это могут быть меры прямого воздействия, такие, как бюджетное финансирование НИОКР, осуществление специальных инновационных программ в приоритетных направлениях НТП, государственные заказы и гарантированные закупки некоторых видов наукоемкой продукции, или же меры косвенного воздействия – налоговое стимулирование инвестиций на исследования и разработки, амортизационные льготы и др. </w:t>
      </w:r>
    </w:p>
    <w:p w:rsidR="0059070E" w:rsidRDefault="0059070E">
      <w:pPr>
        <w:pStyle w:val="22"/>
        <w:spacing w:before="0" w:line="480" w:lineRule="auto"/>
        <w:rPr>
          <w:rFonts w:ascii="Courier" w:hAnsi="Courier" w:cs="Courie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Для большинства развитых стран характерна тенденция высокого уровня прямой государственной поддержки НИОКР на доконкурентных стадиях инновационного цикла и постепенное усиление удельного веса косвенного регулирования по мере приближения к более поздним стадиям. В России же на данный момент как прямой, так и косвенный инструментарий воздействия государства на инновационный процесс практически находится в бездействии. Следствием этого стал тот факт, что за период  с 1990 по 1997 гг. существенно упали показатели проведения научно-исследовательских и опытно-конструкторских разработок (НИОКР)</w:t>
      </w:r>
      <w:r>
        <w:rPr>
          <w:sz w:val="26"/>
          <w:szCs w:val="26"/>
          <w:lang w:val="en-US"/>
        </w:rPr>
        <w:t>[2]</w:t>
      </w:r>
      <w:r>
        <w:rPr>
          <w:rFonts w:ascii="Courier" w:hAnsi="Courier" w:cs="Courier"/>
          <w:sz w:val="26"/>
          <w:szCs w:val="26"/>
        </w:rPr>
        <w:t>: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ассигнования на фундаментальные исследования и  содействие НТП в % к ВВП – в 3.1 раза;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в сопоставимых ценах – в 6.5%*;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число организаций выполнявших НИОКР – на 10%;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численность персонала, занятого НИОКР – на 43.6%;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число конструкторских бюро – в 2.1 раза*;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число изыскательских организаций – в 5.5 раза*;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число образцов новой техники – на 15.5%;</w:t>
      </w:r>
    </w:p>
    <w:p w:rsidR="0059070E" w:rsidRDefault="0059070E">
      <w:pPr>
        <w:numPr>
          <w:ilvl w:val="0"/>
          <w:numId w:val="1"/>
        </w:numPr>
        <w:spacing w:line="480" w:lineRule="auto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освоение в производстве новых изделий – в 2.2 раза.</w:t>
      </w:r>
    </w:p>
    <w:p w:rsidR="0059070E" w:rsidRDefault="0059070E">
      <w:pPr>
        <w:spacing w:line="480" w:lineRule="auto"/>
        <w:ind w:left="720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  <w:r>
        <w:rPr>
          <w:rFonts w:ascii="Courier" w:hAnsi="Courier" w:cs="Courier"/>
          <w:snapToGrid w:val="0"/>
          <w:sz w:val="26"/>
          <w:szCs w:val="26"/>
        </w:rPr>
        <w:t>* 199</w:t>
      </w:r>
      <w:r>
        <w:rPr>
          <w:snapToGrid w:val="0"/>
          <w:sz w:val="26"/>
          <w:szCs w:val="26"/>
          <w:lang w:val="en-US"/>
        </w:rPr>
        <w:t>7</w:t>
      </w:r>
      <w:r>
        <w:rPr>
          <w:rFonts w:ascii="Courier Cyr" w:hAnsi="Courier Cyr" w:cs="Courier Cyr"/>
          <w:snapToGrid w:val="0"/>
          <w:sz w:val="26"/>
          <w:szCs w:val="26"/>
        </w:rPr>
        <w:t>г. к 1990г.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Бессистемная   приватизация,   коммерциализация   в  научно-технической сфере разорвали единые научно-технические структуры, оказывают разрушающее влияние на материально-техническую базу науки. В частности, произошла почти полная смена профиля опытно-экспериментального производства (ОЭП). Указ Президента РФ №426 от 27.04.92., предписывающий сохранить  функционально-технологическую  целостность  научно-технических организаций, не выполняется. В 1991-1992 гг. около половины ОЭП и испытательных баз вышли из состава гражданских машиностроительных НИИ и перепрофилированы. Оставшиеся, в том числе и уникальные, используются в коммерческих целях с ориентацией на зарубежных потребителей.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В аграрной науке приватизированы и, как правило, ориентированы на рыночную конъюнктуру опытные и селекционные станции, экспериментальные базы по выведению элитных пород животных, выращиванию элитных семян, и т.п. Глубокая переработка сельскохозяйственной продукции в АПК лишена научно-технологического обеспечения.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В целом международные связи и внешняя торговля практически всех хозяйствующих субъектов развиваются на фоне потери управляемости, государственного влияния и контроля. Особенно это относится к торговле технологиями, ноу-хау, другими научно техническими продуктами, технологическим обменом, учитывая, что лицензионные соглашения России с другими странами не регистрируются. Продажа научно-технических результатов, интеллектуального богатства осуществляется, как правило, по бросовым ценам.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i/>
          <w:iCs/>
          <w:snapToGrid w:val="0"/>
          <w:sz w:val="26"/>
          <w:szCs w:val="26"/>
        </w:rPr>
      </w:pPr>
    </w:p>
    <w:p w:rsidR="0059070E" w:rsidRDefault="0059070E">
      <w:pPr>
        <w:pStyle w:val="30"/>
        <w:rPr>
          <w:rFonts w:ascii="Courier Cyr" w:hAnsi="Courier Cyr" w:cs="Courier Cyr"/>
        </w:rPr>
      </w:pPr>
      <w:r>
        <w:rPr>
          <w:rFonts w:ascii="Courier Cyr" w:hAnsi="Courier Cyr" w:cs="Courier Cyr"/>
        </w:rPr>
        <w:t>2. ОСНОВНЫЕ ПРОБЛЕМЫ В СФЕРЕ ГОСУДАРСТВЕННОГО РЕГУЛИРОВАНИЯ ИННОВАЦИОННОЙ ДЕЯТЕЛЬНОСТИ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i/>
          <w:iCs/>
          <w:snapToGrid w:val="0"/>
          <w:sz w:val="26"/>
          <w:szCs w:val="26"/>
        </w:rPr>
        <w:t xml:space="preserve">Основными проблемами в осуществлении государственного регулирования инновационной деятельности, практически являются </w:t>
      </w:r>
      <w:r>
        <w:rPr>
          <w:rFonts w:ascii="Courier Cyr" w:hAnsi="Courier Cyr" w:cs="Courier Cyr"/>
          <w:snapToGrid w:val="0"/>
          <w:sz w:val="26"/>
          <w:szCs w:val="26"/>
        </w:rPr>
        <w:t>противоречивость и нестабильность политики и концепции реформ; противопоставление   политики   протекционизма отечественного производства и открытости экономики России для мирового капитала и рынка; хроническая нехватка инвестиционных ресурсов; недооценка роли государства, государственного регулирования всех процессов становления нового общества; неумение эффективно использовать для создания объективных условий вхождения России в новую для нее общественную систему огромного производственного и ресурсного потенциала страны, созданного за предыдущие годы. Подобная экономика не будет иметь самостоятельных источ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ников роста. Ее развитие окажется в полной зависимости от импорта иностранного капитала и внешнего спроса на российское сырье.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Можно было бы поддержать разработчиков программ для правительственных органов в части использования селективного подхода в НТП и воспроизводстве с параллельно-последовательным использованием всех ТУ до пятого включительно, имея   в   виду,   с   учетом   конкретных   реалий,   складывающихся   в социально-экономическом развитии страны, постепенное вытеснение техники и технологий    до    четвертого    ТУ    с    одновременным    укреплением технико-технологической базы пятого ТУ, как основы полного преодоления кризиса (за 3-4 года) и импульсного прорыва к шестому ТУ. Однако, для этого надо осуществить современную оценку технического уровня машин и оборудования, структуру ТУ по базовым направлениям, производству основных видов продукции, сопряженности технологий, методов и средств обслуживания производства, возможности создания однородности технологических потоков и оценки среднего технического уровня производственного потенциала отраслей, производств, региональных производственных и научно-технических анклавов.</w:t>
      </w:r>
    </w:p>
    <w:p w:rsidR="0059070E" w:rsidRDefault="0059070E">
      <w:pPr>
        <w:spacing w:before="60"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 xml:space="preserve">Одним из важнейших факторов, оказывающим огромное влияние на научно-технический прогресс, является </w:t>
      </w:r>
      <w:r>
        <w:rPr>
          <w:rFonts w:ascii="Courier Cyr" w:hAnsi="Courier Cyr" w:cs="Courier Cyr"/>
          <w:i/>
          <w:iCs/>
          <w:snapToGrid w:val="0"/>
          <w:sz w:val="26"/>
          <w:szCs w:val="26"/>
        </w:rPr>
        <w:t>развитие прикладной и фундаментальной науки</w:t>
      </w:r>
      <w:r>
        <w:rPr>
          <w:rFonts w:ascii="Courier Cyr" w:hAnsi="Courier Cyr" w:cs="Courier Cyr"/>
          <w:snapToGrid w:val="0"/>
          <w:sz w:val="26"/>
          <w:szCs w:val="26"/>
        </w:rPr>
        <w:t>. По оценке российских ученых, наука в нашей стране уже переходит или уже пе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решла черту, за которой начинаются необратимые процессы распада. Закрыты целые научные направления. Большое число представителей науки перекочевало на Запад.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До начавшихся в России реформ ассигнования на науку не опуска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лись ниже 2% ВВП и были на уровне промышленно развитых стран. В 1998 г. при плане 0,63% ВВП они составляли 0,32%, что сравнимо только с уровнем Аргентины и Таиланда (см. таблицу 1)</w:t>
      </w:r>
      <w:r>
        <w:rPr>
          <w:snapToGrid w:val="0"/>
          <w:sz w:val="26"/>
          <w:szCs w:val="26"/>
          <w:lang w:val="en-US"/>
        </w:rPr>
        <w:t>[</w:t>
      </w:r>
      <w:r>
        <w:rPr>
          <w:rFonts w:ascii="Courier" w:hAnsi="Courier" w:cs="Courier"/>
          <w:snapToGrid w:val="0"/>
          <w:sz w:val="26"/>
          <w:szCs w:val="26"/>
        </w:rPr>
        <w:t>4</w:t>
      </w:r>
      <w:r>
        <w:rPr>
          <w:snapToGrid w:val="0"/>
          <w:sz w:val="26"/>
          <w:szCs w:val="26"/>
          <w:lang w:val="en-US"/>
        </w:rPr>
        <w:t>]</w:t>
      </w:r>
      <w:r>
        <w:rPr>
          <w:rFonts w:ascii="Courier" w:hAnsi="Courier" w:cs="Courier"/>
          <w:snapToGrid w:val="0"/>
          <w:sz w:val="26"/>
          <w:szCs w:val="26"/>
        </w:rPr>
        <w:t>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В сопоставимых ценах научный бюджет в 1991-199</w:t>
      </w:r>
      <w:r>
        <w:rPr>
          <w:snapToGrid w:val="0"/>
          <w:sz w:val="26"/>
          <w:szCs w:val="26"/>
          <w:lang w:val="en-US"/>
        </w:rPr>
        <w:t>8</w:t>
      </w:r>
      <w:r>
        <w:rPr>
          <w:rFonts w:ascii="Courier Cyr" w:hAnsi="Courier Cyr" w:cs="Courier Cyr"/>
          <w:snapToGrid w:val="0"/>
          <w:sz w:val="26"/>
          <w:szCs w:val="26"/>
        </w:rPr>
        <w:t xml:space="preserve"> гг. упал при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 xml:space="preserve">мерно в </w:t>
      </w:r>
      <w:r>
        <w:rPr>
          <w:rFonts w:ascii="Courier" w:hAnsi="Courier" w:cs="Courier"/>
          <w:snapToGrid w:val="0"/>
          <w:sz w:val="26"/>
          <w:szCs w:val="26"/>
          <w:lang w:val="en-US"/>
        </w:rPr>
        <w:t xml:space="preserve"> </w:t>
      </w:r>
      <w:r>
        <w:rPr>
          <w:rFonts w:ascii="Courier Cyr" w:hAnsi="Courier Cyr" w:cs="Courier Cyr"/>
          <w:snapToGrid w:val="0"/>
          <w:sz w:val="26"/>
          <w:szCs w:val="26"/>
        </w:rPr>
        <w:t>шесть раз. Естественным результатом такой политики стал пе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реход науки из критического состояния в коматозное, стагнация ин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 xml:space="preserve">ститутов и гибель целых научных школ и направлений. 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Многие выдающиеся ученые уехали за границу или используют свой интеллект в более прибыльных сферах деятельности, имеющих слабое отношение к научной сфере. Происходит системный распад научной среды, разбазаривание научно-технического потенци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ала, необоснованная переспециализация научных учреждений, почти полная смена профиля опытно-экспериментальных производств.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К началу 1992 г. научно-техническая сфера включала 2,9 тыс. НИИ и КБ, около 450 вузов, 559 проектных и проектно-изыскательских ор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ганизаций и 400 научно-исследовательских и конструкторских подраз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делений на промышленных предприятиях. Сейчас эта сфера разруша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ется. За четыре года численность занятых НИОКР снизилась более чем на 400 тыс. человек, или на 32-35%, а выпуск аспирантов — на 22-25%.</w:t>
      </w: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</w:p>
    <w:p w:rsidR="0059070E" w:rsidRDefault="0059070E">
      <w:pPr>
        <w:pStyle w:val="1"/>
        <w:spacing w:line="480" w:lineRule="auto"/>
        <w:outlineLvl w:val="0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Таблица 1</w:t>
      </w:r>
    </w:p>
    <w:p w:rsidR="0059070E" w:rsidRDefault="0059070E">
      <w:pPr>
        <w:spacing w:line="480" w:lineRule="auto"/>
        <w:ind w:firstLine="720"/>
        <w:jc w:val="center"/>
        <w:rPr>
          <w:rFonts w:ascii="Courier Cyr" w:hAnsi="Courier Cyr" w:cs="Courier Cyr"/>
          <w:b/>
          <w:bCs/>
          <w:i/>
          <w:iCs/>
          <w:snapToGrid w:val="0"/>
          <w:sz w:val="26"/>
          <w:szCs w:val="26"/>
        </w:rPr>
      </w:pPr>
      <w:r>
        <w:rPr>
          <w:rFonts w:ascii="Courier Cyr" w:hAnsi="Courier Cyr" w:cs="Courier Cyr"/>
          <w:b/>
          <w:bCs/>
          <w:i/>
          <w:iCs/>
          <w:snapToGrid w:val="0"/>
          <w:sz w:val="26"/>
          <w:szCs w:val="26"/>
        </w:rPr>
        <w:t>Расходы на науку в различных странах мира (% от ВВП)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58"/>
        <w:gridCol w:w="2375"/>
        <w:gridCol w:w="2374"/>
        <w:gridCol w:w="2375"/>
      </w:tblGrid>
      <w:tr w:rsidR="0059070E">
        <w:trPr>
          <w:trHeight w:val="980"/>
        </w:trPr>
        <w:tc>
          <w:tcPr>
            <w:tcW w:w="2658" w:type="dxa"/>
            <w:tcBorders>
              <w:top w:val="single" w:sz="4" w:space="0" w:color="auto"/>
              <w:bottom w:val="nil"/>
              <w:right w:val="nil"/>
            </w:tcBorders>
          </w:tcPr>
          <w:p w:rsidR="0059070E" w:rsidRDefault="0059070E">
            <w:pPr>
              <w:spacing w:before="4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Страна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40" w:line="480" w:lineRule="auto"/>
              <w:ind w:firstLine="720"/>
              <w:jc w:val="center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Доля ВВП, выделя</w:t>
            </w: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softHyphen/>
              <w:t>емая на науку %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4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Страна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nil"/>
            </w:tcBorders>
          </w:tcPr>
          <w:p w:rsidR="0059070E" w:rsidRDefault="0059070E">
            <w:pPr>
              <w:spacing w:before="40" w:line="480" w:lineRule="auto"/>
              <w:ind w:firstLine="720"/>
              <w:jc w:val="center"/>
              <w:rPr>
                <w:rFonts w:ascii="Courier" w:hAnsi="Courier" w:cs="Courier"/>
                <w:i/>
                <w:iCs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Доля ВВП, выделя</w:t>
            </w: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softHyphen/>
              <w:t xml:space="preserve">емая на науку </w:t>
            </w:r>
            <w:r>
              <w:rPr>
                <w:rFonts w:ascii="Courier" w:hAnsi="Courier" w:cs="Courier"/>
                <w:i/>
                <w:iCs/>
                <w:snapToGrid w:val="0"/>
                <w:sz w:val="26"/>
                <w:szCs w:val="26"/>
              </w:rPr>
              <w:t>%</w:t>
            </w:r>
          </w:p>
        </w:tc>
      </w:tr>
      <w:tr w:rsidR="0059070E">
        <w:trPr>
          <w:trHeight w:val="36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before="20" w:line="480" w:lineRule="auto"/>
              <w:ind w:firstLine="669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Израиль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3,5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Индия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1,3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Япония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3,05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Чехия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1,2</w:t>
            </w:r>
          </w:p>
        </w:tc>
      </w:tr>
      <w:tr w:rsidR="0059070E">
        <w:trPr>
          <w:trHeight w:val="20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before="2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Кореи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3,0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Ирландия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1,04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Швеция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2,89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Исландия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1,01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Швейцария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2,86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pStyle w:val="2"/>
              <w:spacing w:line="480" w:lineRule="auto"/>
              <w:outlineLvl w:val="1"/>
              <w:rPr>
                <w:rFonts w:ascii="Courier Cyr" w:hAnsi="Courier Cyr" w:cs="Courier Cyr"/>
                <w:sz w:val="26"/>
                <w:szCs w:val="26"/>
              </w:rPr>
            </w:pPr>
            <w:r>
              <w:rPr>
                <w:rFonts w:ascii="Courier Cyr" w:hAnsi="Courier Cyr" w:cs="Courier Cyr"/>
                <w:sz w:val="26"/>
                <w:szCs w:val="26"/>
              </w:rPr>
              <w:t>Новая Зеландия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0,88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США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2,75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Испания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0,87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ФРГ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2,66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КНР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0,79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Франция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2,42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Португалия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0,61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pStyle w:val="3"/>
              <w:spacing w:line="480" w:lineRule="auto"/>
              <w:outlineLvl w:val="2"/>
              <w:rPr>
                <w:rFonts w:ascii="Courier Cyr" w:hAnsi="Courier Cyr" w:cs="Courier Cyr"/>
                <w:sz w:val="26"/>
                <w:szCs w:val="26"/>
              </w:rPr>
            </w:pPr>
            <w:r>
              <w:rPr>
                <w:rFonts w:ascii="Courier Cyr" w:hAnsi="Courier Cyr" w:cs="Courier Cyr"/>
                <w:sz w:val="26"/>
                <w:szCs w:val="26"/>
              </w:rPr>
              <w:t>Великобритания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2,08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Болгария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0,5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Финляндия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2,02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Бразилия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0,5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Нидерланды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1,91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Турция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0,47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Норвегия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1,84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Греция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0,46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Дания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1,69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Румыния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0,45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Бельгия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1,69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Россия (факт)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0,32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Австрия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1,51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Россия (план)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0,63</w:t>
            </w:r>
          </w:p>
        </w:tc>
      </w:tr>
      <w:tr w:rsidR="0059070E">
        <w:trPr>
          <w:trHeight w:val="180"/>
        </w:trPr>
        <w:tc>
          <w:tcPr>
            <w:tcW w:w="2658" w:type="dxa"/>
            <w:tcBorders>
              <w:top w:val="nil"/>
              <w:bottom w:val="nil"/>
              <w:right w:val="nil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Австралия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1,34</w:t>
            </w: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070E" w:rsidRDefault="0059070E">
            <w:pPr>
              <w:spacing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Аргентина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</w:tcBorders>
          </w:tcPr>
          <w:p w:rsidR="0059070E" w:rsidRDefault="0059070E">
            <w:pPr>
              <w:spacing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0,3</w:t>
            </w:r>
          </w:p>
        </w:tc>
      </w:tr>
      <w:tr w:rsidR="0059070E">
        <w:trPr>
          <w:trHeight w:val="200"/>
        </w:trPr>
        <w:tc>
          <w:tcPr>
            <w:tcW w:w="2658" w:type="dxa"/>
            <w:tcBorders>
              <w:top w:val="nil"/>
              <w:bottom w:val="single" w:sz="4" w:space="0" w:color="auto"/>
              <w:right w:val="nil"/>
            </w:tcBorders>
          </w:tcPr>
          <w:p w:rsidR="0059070E" w:rsidRDefault="0059070E">
            <w:pPr>
              <w:spacing w:before="2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Италия</w:t>
            </w:r>
          </w:p>
        </w:tc>
        <w:tc>
          <w:tcPr>
            <w:tcW w:w="2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1,32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both"/>
              <w:rPr>
                <w:rFonts w:ascii="Courier Cyr" w:hAnsi="Courier Cyr" w:cs="Courier Cyr"/>
                <w:snapToGrid w:val="0"/>
                <w:sz w:val="26"/>
                <w:szCs w:val="26"/>
              </w:rPr>
            </w:pPr>
            <w:r>
              <w:rPr>
                <w:rFonts w:ascii="Courier Cyr" w:hAnsi="Courier Cyr" w:cs="Courier Cyr"/>
                <w:snapToGrid w:val="0"/>
                <w:sz w:val="26"/>
                <w:szCs w:val="26"/>
              </w:rPr>
              <w:t>Таиланд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</w:tcBorders>
          </w:tcPr>
          <w:p w:rsidR="0059070E" w:rsidRDefault="0059070E">
            <w:pPr>
              <w:spacing w:before="20" w:line="480" w:lineRule="auto"/>
              <w:ind w:firstLine="720"/>
              <w:jc w:val="center"/>
              <w:rPr>
                <w:rFonts w:ascii="Courier" w:hAnsi="Courier" w:cs="Courier"/>
                <w:snapToGrid w:val="0"/>
                <w:sz w:val="26"/>
                <w:szCs w:val="26"/>
              </w:rPr>
            </w:pPr>
            <w:r>
              <w:rPr>
                <w:rFonts w:ascii="Courier" w:hAnsi="Courier" w:cs="Courier"/>
                <w:snapToGrid w:val="0"/>
                <w:sz w:val="26"/>
                <w:szCs w:val="26"/>
              </w:rPr>
              <w:t>0,18</w:t>
            </w:r>
          </w:p>
        </w:tc>
      </w:tr>
    </w:tbl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</w:p>
    <w:p w:rsidR="0059070E" w:rsidRDefault="0059070E">
      <w:pPr>
        <w:spacing w:line="480" w:lineRule="auto"/>
        <w:ind w:firstLine="720"/>
        <w:jc w:val="both"/>
        <w:rPr>
          <w:rFonts w:ascii="Courier" w:hAnsi="Courier" w:cs="Courie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В первую очередь кризис науки затронул те звенья, которые теснее всего связаны с производством и созданием новой продукции — про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ектные организации, исследовательские и конструкторские подразде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 xml:space="preserve">ления на предприятиях: в 1992-1994 гг. их число сократилось на 20-25% </w:t>
      </w:r>
      <w:r>
        <w:rPr>
          <w:snapToGrid w:val="0"/>
          <w:sz w:val="26"/>
          <w:szCs w:val="26"/>
          <w:lang w:val="en-US"/>
        </w:rPr>
        <w:t>[2]</w:t>
      </w:r>
      <w:r>
        <w:rPr>
          <w:rFonts w:ascii="Courier" w:hAnsi="Courier" w:cs="Courier"/>
          <w:snapToGrid w:val="0"/>
          <w:sz w:val="26"/>
          <w:szCs w:val="26"/>
        </w:rPr>
        <w:t xml:space="preserve">. 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Затраты на материально-техническое обеспечение научных орга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низаций сократилось в десятки раз. Свернуто финансирование научно-технических услуг (патентной деятельности, стандартизации, контро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ля качества). Почти к нулю свелись расходы на приобретение ино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странной литературы. Подготовка кадров с высшим образованием в России резко снизи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лась. Россия стала готовить таких специалистов в два-три раза мень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ше, чем США. Прекращено финансирование системы повы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шения квалификации специалистов.</w:t>
      </w:r>
    </w:p>
    <w:p w:rsidR="0059070E" w:rsidRDefault="0059070E" w:rsidP="009D52BE">
      <w:pPr>
        <w:pStyle w:val="4"/>
        <w:pageBreakBefore/>
        <w:outlineLvl w:val="3"/>
      </w:pPr>
      <w:r>
        <w:rPr>
          <w:rFonts w:ascii="Courier Cyr" w:hAnsi="Courier Cyr" w:cs="Courier Cyr"/>
        </w:rPr>
        <w:t>ЗАКЛЮЧЕНИЕ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napToGrid w:val="0"/>
          <w:sz w:val="26"/>
          <w:szCs w:val="26"/>
        </w:rPr>
        <w:t>Итак, мы рассмотрели кризисную ситуацию  в одной из ключевых сфер российской экономики – инновационной сфере.</w:t>
      </w:r>
      <w:r>
        <w:rPr>
          <w:snapToGrid w:val="0"/>
          <w:sz w:val="26"/>
          <w:szCs w:val="26"/>
        </w:rPr>
        <w:t xml:space="preserve"> </w:t>
      </w:r>
      <w:r>
        <w:rPr>
          <w:rFonts w:ascii="Courier Cyr" w:hAnsi="Courier Cyr" w:cs="Courier Cyr"/>
          <w:snapToGrid w:val="0"/>
          <w:sz w:val="26"/>
          <w:szCs w:val="26"/>
        </w:rPr>
        <w:t>Чтобы изменить кризисную ситуацию в этой сфере, на наш взгляд, в рамках  определения приоритетов государственной научно-технической политики необходимо прежде всего решать проблемы миграции научно-технических кадров, охраны интеллектуальной собственности, создания и поддержки технопарков, выявлять те научные направления, которые могут частично самофинансироваться, и которые не выживут без дотаций, развивать практику создания инновационных фондов. Целесообразно также создать государственную систему дотаций банкам, использу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емых для предоставления льготных кредитов предприятиям, осуще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ствляющим научно-технические производственные проекты.</w:t>
      </w:r>
    </w:p>
    <w:p w:rsidR="0059070E" w:rsidRDefault="0059070E">
      <w:pPr>
        <w:pStyle w:val="22"/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В числе важнейших приоритетов государственной политики и одного из глав</w:t>
      </w:r>
      <w:r>
        <w:rPr>
          <w:rFonts w:ascii="Courier Cyr" w:hAnsi="Courier Cyr" w:cs="Courier Cyr"/>
          <w:sz w:val="26"/>
          <w:szCs w:val="26"/>
        </w:rPr>
        <w:softHyphen/>
        <w:t xml:space="preserve">ных направлений реформ должны стать, на наш взгляд, следующие: </w:t>
      </w:r>
    </w:p>
    <w:p w:rsidR="0059070E" w:rsidRDefault="0059070E">
      <w:pPr>
        <w:pStyle w:val="22"/>
        <w:numPr>
          <w:ilvl w:val="0"/>
          <w:numId w:val="5"/>
        </w:numPr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 xml:space="preserve">резкое увеличение  расходов на науку;  </w:t>
      </w:r>
    </w:p>
    <w:p w:rsidR="0059070E" w:rsidRDefault="0059070E">
      <w:pPr>
        <w:pStyle w:val="22"/>
        <w:numPr>
          <w:ilvl w:val="0"/>
          <w:numId w:val="5"/>
        </w:numPr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обеспечение оптимального распределения государственных ассиг</w:t>
      </w:r>
      <w:r>
        <w:rPr>
          <w:rFonts w:ascii="Courier Cyr" w:hAnsi="Courier Cyr" w:cs="Courier Cyr"/>
          <w:sz w:val="26"/>
          <w:szCs w:val="26"/>
        </w:rPr>
        <w:softHyphen/>
        <w:t>нований на развитие фундаментальных и прикладных исследований;</w:t>
      </w:r>
    </w:p>
    <w:p w:rsidR="0059070E" w:rsidRDefault="0059070E">
      <w:pPr>
        <w:pStyle w:val="22"/>
        <w:numPr>
          <w:ilvl w:val="0"/>
          <w:numId w:val="5"/>
        </w:numPr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создание (под контролем государства) экономических, правовых и социальных условий для развития предпринимательства в научно-технической сфере при частичном разгосударствлении НИОКР, создание эффективного механизма взаимодействия науки и производства;</w:t>
      </w:r>
    </w:p>
    <w:p w:rsidR="0059070E" w:rsidRDefault="0059070E">
      <w:pPr>
        <w:pStyle w:val="22"/>
        <w:numPr>
          <w:ilvl w:val="0"/>
          <w:numId w:val="5"/>
        </w:numPr>
        <w:spacing w:before="0"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в рамках оказания поддержки лучшим научным школам — разработка эффективной налоговой политики, стимулирую</w:t>
      </w:r>
      <w:r>
        <w:rPr>
          <w:rFonts w:ascii="Courier Cyr" w:hAnsi="Courier Cyr" w:cs="Courier Cyr"/>
          <w:sz w:val="26"/>
          <w:szCs w:val="26"/>
        </w:rPr>
        <w:softHyphen/>
        <w:t>щую НТП.</w:t>
      </w:r>
    </w:p>
    <w:p w:rsidR="0059070E" w:rsidRDefault="0059070E">
      <w:pPr>
        <w:spacing w:line="480" w:lineRule="auto"/>
        <w:ind w:firstLine="720"/>
        <w:jc w:val="both"/>
        <w:rPr>
          <w:rFonts w:ascii="Courier Cyr" w:hAnsi="Courier Cyr" w:cs="Courier Cyr"/>
          <w:snapToGrid w:val="0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Обобщая рассмотренный материал, можно констатировать также, что уровень развития рыночных отношений в стране еще недостаточен для эффективного и неконтролируемого рыночного воздействия на поведение негосударственных инвесторов в сфере развития науки; отечественная финансовая система также не стимулирует инновационную деятельность. Инновационная область практически находится на положении “пасынка” государственной политики, те немногие законодательно-правовые акты, что призваны стимулировать развитие инноваций в стране, на деле практически не реализуются.</w:t>
      </w:r>
      <w:r>
        <w:rPr>
          <w:rFonts w:ascii="Courier Cyr" w:hAnsi="Courier Cyr" w:cs="Courier Cyr"/>
          <w:snapToGrid w:val="0"/>
          <w:sz w:val="26"/>
          <w:szCs w:val="26"/>
        </w:rPr>
        <w:t xml:space="preserve"> На наш взгляд, научно-технический прогресс и экономические реформы в России должны происходить параллельно, в этом залог успеха перехода на рыночные отношения. Задача государства при этом — обеспечить тесную связь между этими фундаментальными общественными про</w:t>
      </w:r>
      <w:r>
        <w:rPr>
          <w:rFonts w:ascii="Courier Cyr" w:hAnsi="Courier Cyr" w:cs="Courier Cyr"/>
          <w:snapToGrid w:val="0"/>
          <w:sz w:val="26"/>
          <w:szCs w:val="26"/>
        </w:rPr>
        <w:softHyphen/>
        <w:t>цессами – на настоящий момент не исполняется в должной мере. Очевидно, что состояние инновационной сферы и конкретный механизм реализации государственного регулирования должны занять свое место в числе приоритетных направлений государственной политики, если мы не хотим окончательно превратиться в сырьевой придаток индустриально развитых стран.</w:t>
      </w:r>
    </w:p>
    <w:p w:rsidR="0059070E" w:rsidRDefault="0059070E">
      <w:pPr>
        <w:pStyle w:val="22"/>
        <w:spacing w:before="0" w:line="480" w:lineRule="auto"/>
        <w:rPr>
          <w:rFonts w:ascii="Courier" w:hAnsi="Courier" w:cs="Courier"/>
          <w:sz w:val="26"/>
          <w:szCs w:val="26"/>
        </w:rPr>
      </w:pPr>
    </w:p>
    <w:p w:rsidR="0059070E" w:rsidRDefault="0059070E">
      <w:pPr>
        <w:spacing w:line="480" w:lineRule="auto"/>
        <w:rPr>
          <w:rFonts w:ascii="Courier" w:hAnsi="Courier" w:cs="Courier"/>
          <w:sz w:val="26"/>
          <w:szCs w:val="26"/>
        </w:rPr>
      </w:pPr>
    </w:p>
    <w:p w:rsidR="0059070E" w:rsidRDefault="0059070E" w:rsidP="0059070E">
      <w:pPr>
        <w:pageBreakBefore/>
        <w:spacing w:line="480" w:lineRule="auto"/>
        <w:jc w:val="center"/>
        <w:rPr>
          <w:rFonts w:ascii="Courier" w:hAnsi="Courier" w:cs="Courier"/>
          <w:b/>
          <w:bCs/>
          <w:sz w:val="26"/>
          <w:szCs w:val="26"/>
        </w:rPr>
      </w:pPr>
      <w:r>
        <w:rPr>
          <w:rFonts w:ascii="Courier Cyr" w:hAnsi="Courier Cyr" w:cs="Courier Cyr"/>
          <w:b/>
          <w:bCs/>
          <w:sz w:val="26"/>
          <w:szCs w:val="26"/>
        </w:rPr>
        <w:t>ИСПОЛЬЗОВАННАЯ ЛИТЕРАТУРА</w:t>
      </w:r>
    </w:p>
    <w:p w:rsidR="0059070E" w:rsidRDefault="0059070E">
      <w:pPr>
        <w:spacing w:line="480" w:lineRule="auto"/>
        <w:jc w:val="center"/>
        <w:rPr>
          <w:rFonts w:ascii="Courier" w:hAnsi="Courier" w:cs="Courier"/>
          <w:b/>
          <w:bCs/>
          <w:sz w:val="26"/>
          <w:szCs w:val="26"/>
        </w:rPr>
      </w:pP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Глазьев С. Кому нужна такая политика? \\ Независимая газ., 1995, 20 января</w:t>
      </w: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Деловая жизнь России, ежемесячный журнал, май 1998 г.</w:t>
      </w: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Куланин Р., Захаров А. Спад достиг предела \\ Деловой мир, 1995, 21 марта</w:t>
      </w: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Курнышева И, Сулейманов Д. Инвестирование инновационного развития \\ Экономист, 1995, №10</w:t>
      </w: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Дагаев А., Фактор НТП в современной рыночной экономике \\ М., Наука, 1994</w:t>
      </w:r>
    </w:p>
    <w:p w:rsidR="0059070E" w:rsidRDefault="0059070E">
      <w:pPr>
        <w:pStyle w:val="a5"/>
        <w:numPr>
          <w:ilvl w:val="0"/>
          <w:numId w:val="2"/>
        </w:numPr>
        <w:spacing w:line="480" w:lineRule="auto"/>
        <w:rPr>
          <w:rFonts w:ascii="Courier Cyr" w:hAnsi="Courier Cyr" w:cs="Courier Cyr"/>
          <w:sz w:val="26"/>
          <w:szCs w:val="26"/>
        </w:rPr>
      </w:pPr>
      <w:r>
        <w:rPr>
          <w:rFonts w:ascii="Courier Cyr" w:hAnsi="Courier Cyr" w:cs="Courier Cyr"/>
          <w:sz w:val="26"/>
          <w:szCs w:val="26"/>
        </w:rPr>
        <w:t>Логинов В., Кулагин А. Инновационная политика: меры по активизации \\ Экономист, №9, 1994</w:t>
      </w:r>
    </w:p>
    <w:p w:rsidR="0059070E" w:rsidRDefault="0059070E">
      <w:pPr>
        <w:spacing w:line="480" w:lineRule="auto"/>
        <w:rPr>
          <w:rFonts w:ascii="Courier" w:hAnsi="Courier" w:cs="Courier"/>
          <w:sz w:val="26"/>
          <w:szCs w:val="26"/>
        </w:rPr>
      </w:pPr>
    </w:p>
    <w:p w:rsidR="0059070E" w:rsidRDefault="0059070E">
      <w:pPr>
        <w:spacing w:line="480" w:lineRule="auto"/>
        <w:jc w:val="center"/>
        <w:rPr>
          <w:rFonts w:ascii="Courier" w:hAnsi="Courier" w:cs="Courier"/>
          <w:sz w:val="26"/>
          <w:szCs w:val="26"/>
        </w:rPr>
      </w:pPr>
    </w:p>
    <w:p w:rsidR="0059070E" w:rsidRDefault="0059070E">
      <w:pPr>
        <w:spacing w:line="480" w:lineRule="auto"/>
        <w:ind w:firstLine="709"/>
        <w:jc w:val="both"/>
        <w:rPr>
          <w:rFonts w:ascii="Courier" w:hAnsi="Courier" w:cs="Courier"/>
          <w:sz w:val="26"/>
          <w:szCs w:val="26"/>
        </w:rPr>
      </w:pPr>
    </w:p>
    <w:p w:rsidR="0059070E" w:rsidRDefault="0059070E">
      <w:pPr>
        <w:spacing w:line="480" w:lineRule="auto"/>
        <w:jc w:val="both"/>
        <w:rPr>
          <w:rFonts w:ascii="Courier" w:hAnsi="Courier" w:cs="Courier"/>
          <w:sz w:val="26"/>
          <w:szCs w:val="26"/>
        </w:rPr>
      </w:pPr>
    </w:p>
    <w:p w:rsidR="0059070E" w:rsidRDefault="0059070E">
      <w:pPr>
        <w:spacing w:line="480" w:lineRule="auto"/>
        <w:rPr>
          <w:rFonts w:ascii="Courier" w:hAnsi="Courier" w:cs="Courier"/>
          <w:sz w:val="26"/>
          <w:szCs w:val="26"/>
        </w:rPr>
      </w:pPr>
      <w:bookmarkStart w:id="0" w:name="_GoBack"/>
      <w:bookmarkEnd w:id="0"/>
    </w:p>
    <w:sectPr w:rsidR="0059070E">
      <w:headerReference w:type="default" r:id="rId7"/>
      <w:pgSz w:w="11906" w:h="16838"/>
      <w:pgMar w:top="2007" w:right="1843" w:bottom="1702" w:left="1985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271" w:rsidRDefault="00431271">
      <w:r>
        <w:separator/>
      </w:r>
    </w:p>
  </w:endnote>
  <w:endnote w:type="continuationSeparator" w:id="0">
    <w:p w:rsidR="00431271" w:rsidRDefault="00431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Cyr">
    <w:panose1 w:val="00000000000000000000"/>
    <w:charset w:val="CC"/>
    <w:family w:val="modern"/>
    <w:notTrueType/>
    <w:pitch w:val="fixed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271" w:rsidRDefault="00431271">
      <w:r>
        <w:separator/>
      </w:r>
    </w:p>
  </w:footnote>
  <w:footnote w:type="continuationSeparator" w:id="0">
    <w:p w:rsidR="00431271" w:rsidRDefault="00431271">
      <w:r>
        <w:continuationSeparator/>
      </w:r>
    </w:p>
  </w:footnote>
  <w:footnote w:id="1">
    <w:p w:rsidR="00431271" w:rsidRDefault="00431271">
      <w:pPr>
        <w:pStyle w:val="a5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70E" w:rsidRDefault="00AB0650">
    <w:pPr>
      <w:pStyle w:val="a7"/>
      <w:framePr w:wrap="auto" w:vAnchor="text" w:hAnchor="margin" w:xAlign="right" w:y="1"/>
      <w:rPr>
        <w:rStyle w:val="a6"/>
        <w:sz w:val="26"/>
        <w:szCs w:val="26"/>
      </w:rPr>
    </w:pPr>
    <w:r>
      <w:rPr>
        <w:rStyle w:val="a6"/>
        <w:noProof/>
        <w:sz w:val="26"/>
        <w:szCs w:val="26"/>
      </w:rPr>
      <w:t>1</w:t>
    </w:r>
  </w:p>
  <w:p w:rsidR="0059070E" w:rsidRDefault="0059070E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31674"/>
    <w:multiLevelType w:val="singleLevel"/>
    <w:tmpl w:val="D0E43226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5AF7C4D"/>
    <w:multiLevelType w:val="singleLevel"/>
    <w:tmpl w:val="BE7658E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2746626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6D11D35"/>
    <w:multiLevelType w:val="singleLevel"/>
    <w:tmpl w:val="5AC0CF32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494F329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52BE"/>
    <w:rsid w:val="00386991"/>
    <w:rsid w:val="00431271"/>
    <w:rsid w:val="004941F2"/>
    <w:rsid w:val="0059070E"/>
    <w:rsid w:val="009D52BE"/>
    <w:rsid w:val="00AB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8227930-89DD-400C-998C-F1A1FE84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keepNext/>
      <w:spacing w:line="360" w:lineRule="auto"/>
      <w:ind w:firstLine="720"/>
      <w:jc w:val="right"/>
    </w:pPr>
    <w:rPr>
      <w:i/>
      <w:iCs/>
      <w:sz w:val="24"/>
      <w:szCs w:val="24"/>
    </w:rPr>
  </w:style>
  <w:style w:type="paragraph" w:customStyle="1" w:styleId="2">
    <w:name w:val="заголовок 2"/>
    <w:basedOn w:val="a"/>
    <w:next w:val="a"/>
    <w:uiPriority w:val="99"/>
    <w:pPr>
      <w:keepNext/>
      <w:spacing w:line="360" w:lineRule="auto"/>
      <w:ind w:firstLine="314"/>
      <w:jc w:val="both"/>
    </w:pPr>
    <w:rPr>
      <w:sz w:val="24"/>
      <w:szCs w:val="24"/>
    </w:rPr>
  </w:style>
  <w:style w:type="paragraph" w:customStyle="1" w:styleId="3">
    <w:name w:val="заголовок 3"/>
    <w:basedOn w:val="a"/>
    <w:next w:val="a"/>
    <w:uiPriority w:val="99"/>
    <w:pPr>
      <w:keepNext/>
      <w:spacing w:line="360" w:lineRule="auto"/>
      <w:ind w:firstLine="386"/>
      <w:jc w:val="both"/>
    </w:pPr>
    <w:rPr>
      <w:sz w:val="24"/>
      <w:szCs w:val="24"/>
    </w:rPr>
  </w:style>
  <w:style w:type="paragraph" w:customStyle="1" w:styleId="4">
    <w:name w:val="заголовок 4"/>
    <w:basedOn w:val="a"/>
    <w:next w:val="a"/>
    <w:uiPriority w:val="99"/>
    <w:pPr>
      <w:keepNext/>
      <w:spacing w:line="480" w:lineRule="auto"/>
      <w:ind w:firstLine="720"/>
      <w:jc w:val="both"/>
    </w:pPr>
    <w:rPr>
      <w:rFonts w:ascii="Courier" w:hAnsi="Courier" w:cs="Courier"/>
      <w:b/>
      <w:bCs/>
      <w:sz w:val="28"/>
      <w:szCs w:val="28"/>
    </w:rPr>
  </w:style>
  <w:style w:type="character" w:customStyle="1" w:styleId="a3">
    <w:name w:val="Основной шрифт"/>
    <w:uiPriority w:val="99"/>
  </w:style>
  <w:style w:type="paragraph" w:styleId="20">
    <w:name w:val="Body Text Indent 2"/>
    <w:basedOn w:val="a"/>
    <w:link w:val="21"/>
    <w:uiPriority w:val="99"/>
    <w:pPr>
      <w:spacing w:line="480" w:lineRule="auto"/>
      <w:ind w:firstLine="720"/>
      <w:jc w:val="both"/>
    </w:pPr>
    <w:rPr>
      <w:rFonts w:ascii="Courier" w:hAnsi="Courier" w:cs="Courier"/>
      <w:sz w:val="26"/>
      <w:szCs w:val="26"/>
    </w:rPr>
  </w:style>
  <w:style w:type="character" w:customStyle="1" w:styleId="21">
    <w:name w:val="Основной текст с отступом 2 Знак"/>
    <w:link w:val="20"/>
    <w:uiPriority w:val="99"/>
    <w:semiHidden/>
    <w:rPr>
      <w:sz w:val="20"/>
      <w:szCs w:val="20"/>
    </w:rPr>
  </w:style>
  <w:style w:type="paragraph" w:styleId="22">
    <w:name w:val="Body Text 2"/>
    <w:basedOn w:val="a"/>
    <w:link w:val="23"/>
    <w:uiPriority w:val="99"/>
    <w:pPr>
      <w:spacing w:before="360" w:line="360" w:lineRule="auto"/>
      <w:ind w:firstLine="720"/>
      <w:jc w:val="both"/>
    </w:pPr>
    <w:rPr>
      <w:sz w:val="24"/>
      <w:szCs w:val="24"/>
    </w:rPr>
  </w:style>
  <w:style w:type="character" w:customStyle="1" w:styleId="23">
    <w:name w:val="Основной текст 2 Знак"/>
    <w:link w:val="22"/>
    <w:uiPriority w:val="99"/>
    <w:semiHidden/>
    <w:rPr>
      <w:sz w:val="20"/>
      <w:szCs w:val="20"/>
    </w:rPr>
  </w:style>
  <w:style w:type="character" w:customStyle="1" w:styleId="a4">
    <w:name w:val="знак сноски"/>
    <w:uiPriority w:val="99"/>
    <w:rPr>
      <w:vertAlign w:val="superscript"/>
    </w:rPr>
  </w:style>
  <w:style w:type="paragraph" w:customStyle="1" w:styleId="a5">
    <w:name w:val="текст сноски"/>
    <w:basedOn w:val="a"/>
    <w:uiPriority w:val="99"/>
  </w:style>
  <w:style w:type="character" w:customStyle="1" w:styleId="a6">
    <w:name w:val="номер страницы"/>
    <w:uiPriority w:val="99"/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link w:val="a7"/>
    <w:uiPriority w:val="99"/>
    <w:semiHidden/>
    <w:rPr>
      <w:sz w:val="20"/>
      <w:szCs w:val="20"/>
    </w:rPr>
  </w:style>
  <w:style w:type="paragraph" w:styleId="30">
    <w:name w:val="Body Text Indent 3"/>
    <w:basedOn w:val="a"/>
    <w:link w:val="31"/>
    <w:uiPriority w:val="99"/>
    <w:pPr>
      <w:spacing w:line="480" w:lineRule="auto"/>
      <w:ind w:firstLine="720"/>
      <w:jc w:val="both"/>
    </w:pPr>
    <w:rPr>
      <w:rFonts w:ascii="Courier" w:hAnsi="Courier" w:cs="Courier"/>
      <w:b/>
      <w:bCs/>
      <w:sz w:val="26"/>
      <w:szCs w:val="26"/>
    </w:rPr>
  </w:style>
  <w:style w:type="character" w:customStyle="1" w:styleId="31">
    <w:name w:val="Основной текст с отступом 3 Знак"/>
    <w:link w:val="30"/>
    <w:uiPriority w:val="99"/>
    <w:semiHidden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2735</Words>
  <Characters>15596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Дом</Company>
  <LinksUpToDate>false</LinksUpToDate>
  <CharactersWithSpaces>18295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Домашний Пользователь</dc:creator>
  <cp:keywords/>
  <dc:description/>
  <cp:lastModifiedBy>admin</cp:lastModifiedBy>
  <cp:revision>2</cp:revision>
  <dcterms:created xsi:type="dcterms:W3CDTF">2014-02-22T10:23:00Z</dcterms:created>
  <dcterms:modified xsi:type="dcterms:W3CDTF">2014-02-22T10:23:00Z</dcterms:modified>
</cp:coreProperties>
</file>