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EE" w:rsidRDefault="00C5690D">
      <w:pPr>
        <w:pStyle w:val="a3"/>
        <w:rPr>
          <w:b/>
          <w:bCs/>
        </w:rPr>
      </w:pPr>
      <w:r>
        <w:br/>
      </w:r>
      <w:r>
        <w:br/>
        <w:t>План</w:t>
      </w:r>
      <w:r>
        <w:br/>
        <w:t xml:space="preserve">Введение </w:t>
      </w:r>
      <w:r>
        <w:br/>
      </w:r>
      <w:r>
        <w:rPr>
          <w:b/>
          <w:bCs/>
        </w:rPr>
        <w:t>1 Биография</w:t>
      </w:r>
      <w:r>
        <w:br/>
      </w:r>
      <w:r>
        <w:rPr>
          <w:b/>
          <w:bCs/>
        </w:rPr>
        <w:t>2 Научная работа</w:t>
      </w:r>
      <w:r>
        <w:br/>
      </w:r>
      <w:r>
        <w:rPr>
          <w:b/>
          <w:bCs/>
        </w:rPr>
        <w:t>3 Семья</w:t>
      </w:r>
      <w:r>
        <w:br/>
      </w:r>
      <w:r>
        <w:rPr>
          <w:b/>
          <w:bCs/>
        </w:rPr>
        <w:t>4 Книги</w:t>
      </w:r>
      <w:r>
        <w:br/>
      </w:r>
      <w:r>
        <w:rPr>
          <w:b/>
          <w:bCs/>
        </w:rPr>
        <w:t>Список литературы</w:t>
      </w:r>
    </w:p>
    <w:p w:rsidR="002B20EE" w:rsidRDefault="00C5690D">
      <w:pPr>
        <w:pStyle w:val="21"/>
        <w:pageBreakBefore/>
        <w:numPr>
          <w:ilvl w:val="0"/>
          <w:numId w:val="0"/>
        </w:numPr>
      </w:pPr>
      <w:r>
        <w:t>Введение</w:t>
      </w:r>
    </w:p>
    <w:p w:rsidR="002B20EE" w:rsidRDefault="00C5690D">
      <w:pPr>
        <w:pStyle w:val="a3"/>
      </w:pPr>
      <w:r>
        <w:t>Абра́м Моисе́евич А́никст (1887, Кишинёв Бессарабской губернии — 19 марта 1938, Москва) — участник российского революционного движения (анархист), партийный, профсоюзный и хозяйственный работник, экономист и теоретик в области научной организации производства.</w:t>
      </w:r>
    </w:p>
    <w:p w:rsidR="002B20EE" w:rsidRDefault="00C5690D">
      <w:pPr>
        <w:pStyle w:val="21"/>
        <w:pageBreakBefore/>
        <w:numPr>
          <w:ilvl w:val="0"/>
          <w:numId w:val="0"/>
        </w:numPr>
      </w:pPr>
      <w:r>
        <w:t>1. Биография</w:t>
      </w:r>
    </w:p>
    <w:p w:rsidR="002B20EE" w:rsidRDefault="00C5690D">
      <w:pPr>
        <w:pStyle w:val="a3"/>
      </w:pPr>
      <w:r>
        <w:t>Родился в мае 1887 года в Кишинёве в семье каменщика, окончил четырёхклассное училище, занимался самообразованием. В революционном движении на юге России с 1904 года, в 1906—1907 годах — анархо-коммунист.</w:t>
      </w:r>
    </w:p>
    <w:p w:rsidR="002B20EE" w:rsidRDefault="00C5690D">
      <w:pPr>
        <w:pStyle w:val="a3"/>
      </w:pPr>
      <w:r>
        <w:t xml:space="preserve">С 1907 года — в эмиграции во Франции и Швейцарии, работал электромонтёром, принимал участие в анархо-синдикалистском движении, член заграничной группы русских анархо-синдикалистов (партийный псевдоним — </w:t>
      </w:r>
      <w:r>
        <w:rPr>
          <w:i/>
          <w:iCs/>
        </w:rPr>
        <w:t>Рабочий Альфа</w:t>
      </w:r>
      <w:r>
        <w:t>, под этим именем сотрудничал в анархо-синдикалистском издании «Рабочее знамя»).</w:t>
      </w:r>
    </w:p>
    <w:p w:rsidR="002B20EE" w:rsidRDefault="00C5690D">
      <w:pPr>
        <w:pStyle w:val="a3"/>
      </w:pPr>
      <w:r>
        <w:t>Вернулся в Россию после Февральской революции 1917 года, сотрудничал с большевиками, был председателем Павлоградского уездного Совета рабочих депутатов в Екатеринославской губернии. В 1918 году вступил в РКП(б).</w:t>
      </w:r>
    </w:p>
    <w:p w:rsidR="002B20EE" w:rsidRDefault="00C5690D">
      <w:pPr>
        <w:pStyle w:val="a3"/>
      </w:pPr>
      <w:r>
        <w:t>В 1919—1922 годах был членом коллегии и заместителем наркома труда РСФСР, а в 1920 году одновременно исполнял обязанности заместителя председателя Главного комитета по всеобщей трудовой повинности. Участвовал в обсуждении ввоза иностранных рабочих в Россию: 8 июня 1920 года на заседании СНК внёс проект постановления «О порядке переселения рабочих из-за границы» (Малый Совнарком 9 июня 1920 года выделил на эти цели 350 млн рублей)</w:t>
      </w:r>
      <w:r>
        <w:rPr>
          <w:position w:val="10"/>
        </w:rPr>
        <w:t>[1]</w:t>
      </w:r>
      <w:r>
        <w:t>.</w:t>
      </w:r>
    </w:p>
    <w:p w:rsidR="002B20EE" w:rsidRDefault="00C5690D">
      <w:pPr>
        <w:pStyle w:val="a3"/>
      </w:pPr>
      <w:r>
        <w:t>В 1922—1923 годах — заместитель председателя Уральского областного экономсовета; в 1923—1925 годах — нарком труда Украины, работник ЦК союза горнорабочих и ЦК союза строителей. С конца 1925 года работал в Госплане РСФСР, входил в его президиум, в последние годы жизни — заместитель председателя. На протяжении 1920-х годов регулярно публиковался в журнале «Вопросы труда».</w:t>
      </w:r>
    </w:p>
    <w:p w:rsidR="002B20EE" w:rsidRDefault="00C5690D">
      <w:pPr>
        <w:pStyle w:val="a3"/>
      </w:pPr>
      <w:r>
        <w:t>Жил в Москве, где был арестован 2 ноября 1937 года, приговорён к высшей мере наказания 19 марта 1938 года и в тот же день расстрелян.</w:t>
      </w:r>
    </w:p>
    <w:p w:rsidR="002B20EE" w:rsidRDefault="00C5690D">
      <w:pPr>
        <w:pStyle w:val="21"/>
        <w:pageBreakBefore/>
        <w:numPr>
          <w:ilvl w:val="0"/>
          <w:numId w:val="0"/>
        </w:numPr>
      </w:pPr>
      <w:r>
        <w:t>2. Научная работа</w:t>
      </w:r>
    </w:p>
    <w:p w:rsidR="002B20EE" w:rsidRDefault="00C5690D">
      <w:pPr>
        <w:pStyle w:val="a3"/>
      </w:pPr>
      <w:r>
        <w:t>А. М. Аникст — автор ряда статей и книг по экономической статистике рынка труда в СССР</w:t>
      </w:r>
      <w:r>
        <w:rPr>
          <w:position w:val="10"/>
        </w:rPr>
        <w:t>[2][3][4]</w:t>
      </w:r>
      <w:r>
        <w:t>, безработице</w:t>
      </w:r>
      <w:r>
        <w:rPr>
          <w:position w:val="10"/>
        </w:rPr>
        <w:t>[5][6]</w:t>
      </w:r>
      <w:r>
        <w:t xml:space="preserve"> и научной организации труда (НОТ), в том числе «Биржи труда и социализм» (1919), «Организация рабочей силы» (Москва, 1920), «Организация распределения рабочей силы» (1920), «Организация рынка труда за два года Советской власти» (1920), «Этапы развития Народного Комиссариата труда» (Москва, 1923), «Рынок труда в России» (1923), «Рабочая сила» (Москва, 1929), «Как Советская власть борется с безработицей» (1929), «Культурное строительство в пятилетке» (1930), а также «Воспоминания о В. И. Ленине»</w:t>
      </w:r>
      <w:r>
        <w:rPr>
          <w:position w:val="10"/>
        </w:rPr>
        <w:t>[7]</w:t>
      </w:r>
      <w:r>
        <w:t xml:space="preserve"> (Москва, 1933).</w:t>
      </w:r>
    </w:p>
    <w:p w:rsidR="002B20EE" w:rsidRDefault="00C5690D">
      <w:pPr>
        <w:pStyle w:val="21"/>
        <w:pageBreakBefore/>
        <w:numPr>
          <w:ilvl w:val="0"/>
          <w:numId w:val="0"/>
        </w:numPr>
      </w:pPr>
      <w:r>
        <w:t>3. Семья</w:t>
      </w:r>
    </w:p>
    <w:p w:rsidR="002B20EE" w:rsidRDefault="00C5690D">
      <w:pPr>
        <w:pStyle w:val="a3"/>
      </w:pPr>
      <w:r>
        <w:t>Жена А. М. Аникста — Ольга Григорьевна Аникст (1886—1959) — организатор профобразования в РСФСР, основатель и первый ректор Московского института новых (иностранных) языков (нынешний Московский государственный лингвистический университет).</w:t>
      </w:r>
    </w:p>
    <w:p w:rsidR="002B20EE" w:rsidRDefault="00C5690D">
      <w:pPr>
        <w:pStyle w:val="a3"/>
      </w:pPr>
      <w:r>
        <w:t>Сын А. М. Аникста — Александр Абрамович Аникст (1910—1988) — русский советский литературовед, театровед, доктор искусствоведения. Автор многочисленных трудов по истории английской литературы, редактор и составитель многотомных собраний сочинений Шекспира и Бернарда Шоу, автор пятитомной «Истории учений о драме» (1967—1988).</w:t>
      </w:r>
    </w:p>
    <w:p w:rsidR="002B20EE" w:rsidRDefault="00C5690D">
      <w:pPr>
        <w:pStyle w:val="a3"/>
      </w:pPr>
      <w:r>
        <w:t>Дочь А. М. Аникста — Ада Абрамовна Аникст (1915—2002) — инженер, директор лаборатории физико-механических испытаний завода пластмасс.</w:t>
      </w:r>
    </w:p>
    <w:p w:rsidR="002B20EE" w:rsidRDefault="00C5690D">
      <w:pPr>
        <w:pStyle w:val="a3"/>
      </w:pPr>
      <w:r>
        <w:t>Сын А. М. Аникста — Дмитрий Абрамович Аникст (1927—2008) — советский геодезист, изобретатель в области геодезии и картографии, разработчик серии высокоточных советских теодолитов (в том числе астрономического теодолита ТА-05 для прицеливания космических аппаратов), ведущий конструктор московского ЦНИИ геодезии, аэрофотосъёмки и картографии, автор 5 монографий, в том числе «Высокоточные теодолиты» (1978), «Оптические системы геодезических приборов» (1981), «Высокоточные угловые измерения» (1987).</w:t>
      </w:r>
    </w:p>
    <w:p w:rsidR="002B20EE" w:rsidRDefault="00C5690D">
      <w:pPr>
        <w:pStyle w:val="a3"/>
      </w:pPr>
      <w:r>
        <w:t>Внук А. М. Аникста — Михаил Александрович Аникст (p. 20 ноября 1938, Москва) — российский и британский (с 1990 года) книжный дизайнер и график, искусствовед, академик Академии графического дизайна.</w:t>
      </w:r>
    </w:p>
    <w:p w:rsidR="002B20EE" w:rsidRDefault="00C5690D">
      <w:pPr>
        <w:pStyle w:val="21"/>
        <w:pageBreakBefore/>
        <w:numPr>
          <w:ilvl w:val="0"/>
          <w:numId w:val="0"/>
        </w:numPr>
      </w:pPr>
      <w:r>
        <w:t>4. Книги</w:t>
      </w:r>
    </w:p>
    <w:p w:rsidR="002B20EE" w:rsidRDefault="00C5690D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Биржи труда и социализм. Москва: Издательство Народного комиссариата труда (НКТ), 1919.</w:t>
      </w:r>
    </w:p>
    <w:p w:rsidR="002B20EE" w:rsidRDefault="00C5690D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Организация рабочей силы в 1920 году. Наркомтруд и Главкомтруд. Москва: Издательство агитационно-издательского отдела ГКТ и НКТ, 1920.</w:t>
      </w:r>
    </w:p>
    <w:p w:rsidR="002B20EE" w:rsidRDefault="00C5690D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Организация распределения рабочей силы. Статьи и доклады за 1918—1920 гг. Москва: НКТ, 1920.</w:t>
      </w:r>
    </w:p>
    <w:p w:rsidR="002B20EE" w:rsidRDefault="00C5690D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Организация рынка труда за два года Советской власти (Краткий очерк). Москва: НКТ, 1920.</w:t>
      </w:r>
    </w:p>
    <w:p w:rsidR="002B20EE" w:rsidRDefault="00C5690D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Обзор деятельности Наркомтруда за 1921 г. (К IV сессии ВЦИК). Москва: НКТ, 1921.</w:t>
      </w:r>
    </w:p>
    <w:p w:rsidR="002B20EE" w:rsidRDefault="00C5690D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Этапы развития Народного Комиссариата труда (От Первого к Четверторму Всероссийскому съезду отделов труда). Москва, 1923.</w:t>
      </w:r>
    </w:p>
    <w:p w:rsidR="002B20EE" w:rsidRDefault="00C5690D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Рынок труда в России (за период 1922—23 гг.). Москва, 1923.</w:t>
      </w:r>
    </w:p>
    <w:p w:rsidR="002B20EE" w:rsidRDefault="00C5690D">
      <w:pPr>
        <w:pStyle w:val="a3"/>
        <w:numPr>
          <w:ilvl w:val="0"/>
          <w:numId w:val="2"/>
        </w:numPr>
        <w:tabs>
          <w:tab w:val="left" w:pos="707"/>
        </w:tabs>
      </w:pPr>
      <w:r>
        <w:t>Как Советская власть борется с безработицей. Москва—Петроград: Вестник Труда, 1929.</w:t>
      </w:r>
    </w:p>
    <w:p w:rsidR="002B20EE" w:rsidRDefault="00C5690D">
      <w:pPr>
        <w:pStyle w:val="21"/>
        <w:pageBreakBefore/>
        <w:numPr>
          <w:ilvl w:val="0"/>
          <w:numId w:val="0"/>
        </w:numPr>
      </w:pPr>
      <w:r>
        <w:t>Список литературы:</w:t>
      </w:r>
    </w:p>
    <w:p w:rsidR="002B20EE" w:rsidRDefault="00C5690D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Текст впервые опубликован в издании «Декреты советской власти» (1978)</w:t>
      </w:r>
    </w:p>
    <w:p w:rsidR="002B20EE" w:rsidRDefault="00C5690D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Модель рынка труда в переходной экономике России</w:t>
      </w:r>
    </w:p>
    <w:p w:rsidR="002B20EE" w:rsidRDefault="00C5690D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Методологические аспекты исследования товарной формы рабочей силы, рынка труда и занятости в отечественной экономической литературе 20-80-х годов</w:t>
      </w:r>
    </w:p>
    <w:p w:rsidR="002B20EE" w:rsidRDefault="00C5690D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Организационно-экономические и методические основы функционирования службы занятости</w:t>
      </w:r>
    </w:p>
    <w:p w:rsidR="002B20EE" w:rsidRDefault="00C5690D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см. напр. А. Аникст. Современная безработица в России и борьба с нею. Вестник труда, 1922, № 2.</w:t>
      </w:r>
    </w:p>
    <w:p w:rsidR="002B20EE" w:rsidRDefault="00C5690D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А. М. Аникст в программе учебного курса «Управление трудовыми ресурсами»</w:t>
      </w:r>
    </w:p>
    <w:p w:rsidR="002B20EE" w:rsidRDefault="00C5690D">
      <w:pPr>
        <w:pStyle w:val="a3"/>
        <w:numPr>
          <w:ilvl w:val="0"/>
          <w:numId w:val="1"/>
        </w:numPr>
        <w:tabs>
          <w:tab w:val="left" w:pos="707"/>
        </w:tabs>
      </w:pPr>
      <w:r>
        <w:t>Частично переизданы в 10-томном издании «Воспоминания о Владимире Ильиче Ленине» (Москва: Политиздат, 1989—1990).</w:t>
      </w:r>
    </w:p>
    <w:p w:rsidR="002B20EE" w:rsidRDefault="00C5690D">
      <w:pPr>
        <w:pStyle w:val="a3"/>
        <w:spacing w:after="0"/>
      </w:pPr>
      <w:r>
        <w:t>Источник: http://ru.wikipedia.org/wiki/Аникст,_Абрам_Моисеевич</w:t>
      </w:r>
      <w:bookmarkStart w:id="0" w:name="_GoBack"/>
      <w:bookmarkEnd w:id="0"/>
    </w:p>
    <w:sectPr w:rsidR="002B20EE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90D"/>
    <w:rsid w:val="002B20EE"/>
    <w:rsid w:val="00C5690D"/>
    <w:rsid w:val="00E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877D-BF04-4AD5-BDC1-2F815F61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31">
    <w:name w:val="RTF_Num 3 1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Pr>
      <w:rFonts w:ascii="StarSymbol" w:eastAsia="StarSymbol" w:hAnsi="StarSymbol" w:cs="StarSymbol"/>
      <w:sz w:val="18"/>
      <w:szCs w:val="18"/>
    </w:rPr>
  </w:style>
  <w:style w:type="character" w:customStyle="1" w:styleId="RTFNum310">
    <w:name w:val="RTF_Num 3 10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en-US"/>
    </w:rPr>
  </w:style>
  <w:style w:type="character" w:customStyle="1" w:styleId="NumberingSymbols">
    <w:name w:val="Numbering Symbols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</w:pPr>
  </w:style>
  <w:style w:type="paragraph" w:styleId="a4">
    <w:name w:val="List"/>
    <w:basedOn w:val="a3"/>
    <w:semiHidden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0">
    <w:name w:val="Обратный адрес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и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и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3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1">
    <w:name w:val="Заголовок 21"/>
    <w:basedOn w:val="Heading"/>
    <w:next w:val="a3"/>
    <w:pPr>
      <w:numPr>
        <w:ilvl w:val="1"/>
        <w:numId w:val="3"/>
      </w:numPr>
      <w:outlineLvl w:val="1"/>
    </w:pPr>
    <w:rPr>
      <w:rFonts w:ascii="Liberation Serif" w:eastAsia="DejaVu Sans" w:hAnsi="Liberation Serif" w:cs="Liberation Serif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2014-05-10T01:49:00Z</dcterms:created>
  <dcterms:modified xsi:type="dcterms:W3CDTF">2014-05-10T01:49:00Z</dcterms:modified>
</cp:coreProperties>
</file>