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F63355" w:rsidRDefault="00F63355" w:rsidP="00F63355">
      <w:pPr>
        <w:tabs>
          <w:tab w:val="left" w:pos="1134"/>
        </w:tabs>
        <w:spacing w:line="360" w:lineRule="auto"/>
        <w:ind w:firstLine="720"/>
        <w:jc w:val="center"/>
        <w:rPr>
          <w:rFonts w:ascii="Times New Roman" w:hAnsi="Times New Roman" w:cs="Times New Roman"/>
          <w:sz w:val="28"/>
          <w:szCs w:val="28"/>
        </w:rPr>
      </w:pPr>
    </w:p>
    <w:p w:rsidR="002705A7" w:rsidRPr="00F63355" w:rsidRDefault="002705A7" w:rsidP="00F63355">
      <w:pPr>
        <w:tabs>
          <w:tab w:val="left" w:pos="1134"/>
        </w:tabs>
        <w:spacing w:line="360" w:lineRule="auto"/>
        <w:ind w:firstLine="720"/>
        <w:jc w:val="center"/>
        <w:rPr>
          <w:rFonts w:ascii="Times New Roman" w:hAnsi="Times New Roman" w:cs="Times New Roman"/>
          <w:sz w:val="28"/>
          <w:szCs w:val="28"/>
        </w:rPr>
      </w:pPr>
      <w:r w:rsidRPr="00F63355">
        <w:rPr>
          <w:rFonts w:ascii="Times New Roman" w:hAnsi="Times New Roman" w:cs="Times New Roman"/>
          <w:sz w:val="28"/>
          <w:szCs w:val="28"/>
        </w:rPr>
        <w:t>РЕФЕРАТ</w:t>
      </w:r>
    </w:p>
    <w:p w:rsidR="002705A7" w:rsidRPr="00F63355" w:rsidRDefault="002705A7" w:rsidP="00F63355">
      <w:pPr>
        <w:tabs>
          <w:tab w:val="left" w:pos="1134"/>
        </w:tabs>
        <w:spacing w:line="360" w:lineRule="auto"/>
        <w:ind w:firstLine="720"/>
        <w:jc w:val="center"/>
        <w:rPr>
          <w:rFonts w:ascii="Times New Roman" w:hAnsi="Times New Roman" w:cs="Times New Roman"/>
          <w:sz w:val="28"/>
          <w:szCs w:val="28"/>
        </w:rPr>
      </w:pPr>
      <w:r w:rsidRPr="00F63355">
        <w:rPr>
          <w:rFonts w:ascii="Times New Roman" w:hAnsi="Times New Roman" w:cs="Times New Roman"/>
          <w:sz w:val="28"/>
          <w:szCs w:val="28"/>
        </w:rPr>
        <w:t>по курсу «Бухгалтерский учет и аудит»</w:t>
      </w:r>
    </w:p>
    <w:p w:rsidR="002705A7" w:rsidRPr="00F63355" w:rsidRDefault="002705A7" w:rsidP="00F63355">
      <w:pPr>
        <w:tabs>
          <w:tab w:val="left" w:pos="1134"/>
        </w:tabs>
        <w:spacing w:line="360" w:lineRule="auto"/>
        <w:ind w:firstLine="720"/>
        <w:jc w:val="center"/>
        <w:rPr>
          <w:rFonts w:ascii="Times New Roman" w:hAnsi="Times New Roman" w:cs="Times New Roman"/>
          <w:sz w:val="28"/>
          <w:szCs w:val="28"/>
          <w:lang w:eastAsia="en-US"/>
        </w:rPr>
      </w:pPr>
      <w:r w:rsidRPr="00F63355">
        <w:rPr>
          <w:rFonts w:ascii="Times New Roman" w:hAnsi="Times New Roman" w:cs="Times New Roman"/>
          <w:sz w:val="28"/>
          <w:szCs w:val="28"/>
        </w:rPr>
        <w:t>по теме: «Учет нематериальных активов</w:t>
      </w:r>
      <w:r w:rsidRPr="00F63355">
        <w:rPr>
          <w:rFonts w:ascii="Times New Roman" w:hAnsi="Times New Roman" w:cs="Times New Roman"/>
          <w:sz w:val="28"/>
          <w:szCs w:val="28"/>
          <w:lang w:eastAsia="en-US"/>
        </w:rPr>
        <w:t>»</w:t>
      </w:r>
    </w:p>
    <w:p w:rsidR="007C3047" w:rsidRPr="00F63355" w:rsidRDefault="00F63355" w:rsidP="00F63355">
      <w:pPr>
        <w:tabs>
          <w:tab w:val="left" w:pos="1134"/>
        </w:tabs>
        <w:spacing w:line="360" w:lineRule="auto"/>
        <w:ind w:firstLine="720"/>
        <w:jc w:val="center"/>
        <w:rPr>
          <w:rFonts w:ascii="Times New Roman" w:hAnsi="Times New Roman" w:cs="Times New Roman"/>
          <w:b/>
          <w:sz w:val="28"/>
          <w:szCs w:val="28"/>
        </w:rPr>
      </w:pPr>
      <w:r>
        <w:rPr>
          <w:rFonts w:ascii="Times New Roman" w:hAnsi="Times New Roman" w:cs="Times New Roman"/>
          <w:sz w:val="28"/>
          <w:szCs w:val="28"/>
        </w:rPr>
        <w:br w:type="page"/>
      </w:r>
      <w:r w:rsidR="002705A7" w:rsidRPr="00F63355">
        <w:rPr>
          <w:rFonts w:ascii="Times New Roman" w:hAnsi="Times New Roman" w:cs="Times New Roman"/>
          <w:b/>
          <w:sz w:val="28"/>
          <w:szCs w:val="28"/>
        </w:rPr>
        <w:t>1</w:t>
      </w:r>
      <w:r w:rsidR="007C3047" w:rsidRPr="00F63355">
        <w:rPr>
          <w:rFonts w:ascii="Times New Roman" w:hAnsi="Times New Roman" w:cs="Times New Roman"/>
          <w:b/>
          <w:sz w:val="28"/>
          <w:szCs w:val="28"/>
        </w:rPr>
        <w:t>. Понятие, классификация и оценка нематериальных активов</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соответствии с п. 3 ПБУ14/2000 (5) к нематериальным активам относят имущество, которое одновременно отвечает следующим условиям: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а)</w:t>
      </w:r>
      <w:r w:rsidRPr="00F63355">
        <w:rPr>
          <w:rFonts w:ascii="Times New Roman" w:hAnsi="Times New Roman" w:cs="Times New Roman"/>
          <w:sz w:val="28"/>
          <w:szCs w:val="28"/>
        </w:rPr>
        <w:tab/>
        <w:t>не имеет материально-вещественной (физической) структуры;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б)</w:t>
      </w:r>
      <w:r w:rsidRPr="00F63355">
        <w:rPr>
          <w:rFonts w:ascii="Times New Roman" w:hAnsi="Times New Roman" w:cs="Times New Roman"/>
          <w:sz w:val="28"/>
          <w:szCs w:val="28"/>
        </w:rPr>
        <w:tab/>
        <w:t>может быть идентифицировано (выделено, отделено) от другого имущества;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w:t>
      </w:r>
      <w:r w:rsidRPr="00F63355">
        <w:rPr>
          <w:rFonts w:ascii="Times New Roman" w:hAnsi="Times New Roman" w:cs="Times New Roman"/>
          <w:sz w:val="28"/>
          <w:szCs w:val="28"/>
        </w:rPr>
        <w:tab/>
        <w:t>предназначено для использования в производстве продукции,</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 xml:space="preserve">при выполнении работ или оказании услуг либо для управленческих нужд </w:t>
      </w:r>
      <w:r w:rsidR="008368B5" w:rsidRPr="00F63355">
        <w:rPr>
          <w:rFonts w:ascii="Times New Roman" w:hAnsi="Times New Roman" w:cs="Times New Roman"/>
          <w:sz w:val="28"/>
          <w:szCs w:val="28"/>
        </w:rPr>
        <w:t>о</w:t>
      </w:r>
      <w:r w:rsidRPr="00F63355">
        <w:rPr>
          <w:rFonts w:ascii="Times New Roman" w:hAnsi="Times New Roman" w:cs="Times New Roman"/>
          <w:sz w:val="28"/>
          <w:szCs w:val="28"/>
        </w:rPr>
        <w:t>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г)</w:t>
      </w:r>
      <w:r w:rsidRPr="00F63355">
        <w:rPr>
          <w:rFonts w:ascii="Times New Roman" w:hAnsi="Times New Roman" w:cs="Times New Roman"/>
          <w:sz w:val="28"/>
          <w:szCs w:val="28"/>
        </w:rPr>
        <w:tab/>
        <w:t>используется в течение длительного времени (свыше 12 месяцев или в течение, обычного операционного цикла, если он превышает 12 месяцев);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w:t>
      </w:r>
      <w:r w:rsidRPr="00F63355">
        <w:rPr>
          <w:rFonts w:ascii="Times New Roman" w:hAnsi="Times New Roman" w:cs="Times New Roman"/>
          <w:sz w:val="28"/>
          <w:szCs w:val="28"/>
        </w:rPr>
        <w:tab/>
        <w:t>не предполагается последующая перепродажа данного имущества;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е)</w:t>
      </w:r>
      <w:r w:rsidRPr="00F63355">
        <w:rPr>
          <w:rFonts w:ascii="Times New Roman" w:hAnsi="Times New Roman" w:cs="Times New Roman"/>
          <w:sz w:val="28"/>
          <w:szCs w:val="28"/>
        </w:rPr>
        <w:tab/>
        <w:t>способно приносить организации экономическую выгоду;</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ж)</w:t>
      </w:r>
      <w:r w:rsidRPr="00F63355">
        <w:rPr>
          <w:rFonts w:ascii="Times New Roman" w:hAnsi="Times New Roman" w:cs="Times New Roman"/>
          <w:sz w:val="28"/>
          <w:szCs w:val="28"/>
        </w:rPr>
        <w:tab/>
        <w:t>имеются надлежаще оформленные документы, подтверждающие существование самого актива и исключительные права организации на результаты интеллектуальной деятельности (патенты,</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свидетельства, другие охранные документы и т.п.).</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соответствии с перечисленными условиями к нематериальным активам относят следующие объекты интеллектуальной собственности: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исключительное право патентообладателя на изобретение, промышленный образец, полезную модель;</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исключительное авторское право на программы для ЭВМ, базы данных;</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имущественное право автора или иного правообладателя на топологии интегральных микросхем;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исключительное право владельца на товарный знак и знак обслуживания, наименование места происхождения товаров;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исключительное право патентообладателя на селекционные достижения.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составе нематериальных активов учитываются также деловая репутация организации и организационные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классификации можно выделить следующие виды нематериальных активов: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объекты интеллектуальной собственности;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отложенные затраты;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деловая репутация организации.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Объекты интеллектуальной собственности можно разделить на два вида: регулируемые патентным правом и регулируемые авторским правом.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Патентное право охраняет содержание произведения. Для охраны изобретения, полезных моделей, промышленных образцов, фирменных наименований, товарных знаков, знаков обслуживания необходима их регистрация по установленной процедуре в соответствующих органах. Перечень объектов, охраняемых патентным правом, исчерпывающий.</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Регистрация объектов, регулируемых авторским правом, не нужна. Автор обязан выразить свое произведение в любой объективной форме, позволяющей воспроизводить указанный объект. Перечень объектов, регулируемых авторским правом, примерный и может быть расширен за счет создания новых произведений.</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Объекты, регулируемые патентным правом (объекты промышленной собственности). Правовое регулирование объектов промышленной собственности осуществляется Патентным законом РФ, Законом РФ «О товарных знаках, знаках обслуживания и наименованиях мест происхождения товаров», а также подзаконными нормативными актами, регулирующими процедуру оформления и регистрации объектов, размеры пошлин и иные вопросы.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Изобретение подлежит правовой охране, если оно является новым, имеет изобретательский уровень и промышленно применимо (устройство, способ, вещество, штамм, микроорганизм, культуры клеток растений и животных) или является известным устройством, способом, веществом, штаммом, но имеет новое применение. Патент на изобретение выдается сроком до 20 лет и удостоверяет приоритет изобретения, авторство, а также исключительное право на его использование.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Промышленный образец — художественно-конструкторское решение изделия, определяющее его внешний вид. Отличительными признаками патентоспособности промышленного образца являются его новизна, оригинальность и промышленная применимость. Патент на промышленный образец выдается на срок до 10 лет и может быть продлен еще на срок до 5 лет.</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Полезная модель представляет собой конструктивное выполнение из составных частей. Отличительные признаки полезной модели — новизна и промышленная применимость. Правовая охрана полезной модели осуществляется при наличии свидетельства, выдаваемого Патентным отделом на срок до 10 лет и продлеваемого по ходатайству патентообладателя на дополнительный срок до 3 лет.</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Основные формы использования охраняемых патентным правом объектов — передача прав по лицензионному договору и внесение объекта в качестве вклада в уставный капитал организации. Лицензионный договор существенно отличается от договора купли-продажи и найма, поскольку патентовладелец передает по лицензионному договору не само изобретение, а лишь исключительное право на его использование; патентовладелец может передать право на использование изобретения широкому кругу третьих лиц и сам использовать изобретение. Стоимость охраняемых патентом объектов складывается из затрат на их приобретение, юридических, консультационных и других затрат.</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Товарный знак и знак обслуживания — обозначения, позволяющие различать соответственно однородные товары и услуги разных юридических или физических лиц.</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Правовая охрана товарного знака и знака обслуживания осуществляется</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на основе свидетельства Патентного ведомства, удостоверяющего приоритет</w:t>
      </w:r>
      <w:r w:rsidR="008368B5" w:rsidRPr="00F63355">
        <w:rPr>
          <w:rFonts w:ascii="Times New Roman" w:hAnsi="Times New Roman" w:cs="Times New Roman"/>
          <w:sz w:val="28"/>
          <w:szCs w:val="28"/>
        </w:rPr>
        <w:t>ного то</w:t>
      </w:r>
      <w:r w:rsidRPr="00F63355">
        <w:rPr>
          <w:rFonts w:ascii="Times New Roman" w:hAnsi="Times New Roman" w:cs="Times New Roman"/>
          <w:sz w:val="28"/>
          <w:szCs w:val="28"/>
        </w:rPr>
        <w:t>варного знака, исключительное право владельца на товарный знак в отношении товаров, указанных в свидетельстве. Свидетельство выдается на срок 10 лет и может продлеваться каждый раз на этот же срок.</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Наименование места происхождения товара — название страны, населенного пункта или другого географического объекта, используемого для обозначения товара, особые свойства которого исключительно или главным образом определяются характерными или людскими факторами либо обоими факторами одновременно. Правовая охрана наименования места происхождения товара осуществляется на основе свидетельства Патентного ведомства, выдаваемого на срок 10 лет и продлеваемого каждый раз на этот же срок.</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Объекты, регулируемые авторским правом. Регулирование объектов авторским правом осуществляется в соответствии с законами РФ.</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Программа для ЭВМ</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 xml:space="preserve"> объективная форма представления совокупности данных и команд, предназначенных для функционирования ЭВМ и других компьютерных устройств. К ней относятся также подготовительные материалы, полученные в ходе разработки программы, и аудиовизуальные отображения.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 xml:space="preserve">База данных </w:t>
      </w:r>
      <w:r w:rsidR="008368B5" w:rsidRPr="00F63355">
        <w:rPr>
          <w:rFonts w:ascii="Times New Roman" w:hAnsi="Times New Roman" w:cs="Times New Roman"/>
          <w:sz w:val="28"/>
          <w:szCs w:val="28"/>
        </w:rPr>
        <w:t>-</w:t>
      </w:r>
      <w:r w:rsidRPr="00F63355">
        <w:rPr>
          <w:rFonts w:ascii="Times New Roman" w:hAnsi="Times New Roman" w:cs="Times New Roman"/>
          <w:sz w:val="28"/>
          <w:szCs w:val="28"/>
        </w:rPr>
        <w:t xml:space="preserve"> объективная форма представления и организации совокупности данных (статей, расчетов и др.), систематизированных с целью нахождения и обработки этих данных.</w:t>
      </w:r>
    </w:p>
    <w:p w:rsidR="008368B5"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Топология интегральных микросхем — зафиксированное на материальном носителе пространственно-геометрическое расположение совокупности элементов интегральной микросхемы и связей между ними.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Помимо указанных объектов авторских прав могут быть и другие произведения науки, а также литературы и искусства.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Правовой формой подачи объектов авторского права является авторский договор (на воспроизведение произведения, его переработку и распространение).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Договоры о передаче имущественных прав на программу ЭВМ, базу данных, топологию интегральных микросхем могут быть зарегистрированы в Российском агентстве по правовой охране указанных объектов по соглашению сторон. Договор о полной уступке всех имущественных прав на зарегистрированные объекты подлежит обязательной регистрации в Агентстве.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 xml:space="preserve">Отложенные затраты </w:t>
      </w:r>
      <w:r w:rsidR="008368B5" w:rsidRPr="00F63355">
        <w:rPr>
          <w:rFonts w:ascii="Times New Roman" w:hAnsi="Times New Roman" w:cs="Times New Roman"/>
          <w:sz w:val="28"/>
          <w:szCs w:val="28"/>
        </w:rPr>
        <w:t>-</w:t>
      </w:r>
      <w:r w:rsidRPr="00F63355">
        <w:rPr>
          <w:rFonts w:ascii="Times New Roman" w:hAnsi="Times New Roman" w:cs="Times New Roman"/>
          <w:sz w:val="28"/>
          <w:szCs w:val="28"/>
        </w:rPr>
        <w:t xml:space="preserve"> это организационные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Организационные расходы состоят из затрат по оплате услуг консультантов, рекламы, по подготовке документации, регистрационных сборов и других расходов организации в период ее создания до момента регистрации.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Следует отметить, что в состав организационных расходов, включаемых в нематериальные активы, входят расходы, связанные с образованием юридического лица и признанные в соответствии с учредительными документами вкладом участников (учредителей) в уставный капитал.</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Расходы организации, связанные с необходимостью переоформления учредительных и иных документов (расширение организации, изменение видов деятельности, представление образцов подписей должностных лиц и пр.), изготовления новых штампов, печатей и т.п., включают в состав общехозяйственных расходов организации и отражают по дебету счета 26 «Общехозяйственные расходы». Организации, изменяющие организационно-правовую форму, указанные расходы производят за счет прибыли, остающейся в их распоряжении.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Деловая репутация организации — это разница между покупной ценой организации (как приобретенного имущественного комплекса в целом) и балансовой стоимостью ее имущества. При приобретении объектов приватизации на аукционе или по конкурсу деловая репутация организации определяется как разница между покупной ценой, уплачиваемой покупателем, и оценочной (начальной) стоимостью проданной организации.</w:t>
      </w:r>
    </w:p>
    <w:p w:rsidR="008368B5"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Объектом нематериальных активов является положительная деловая репутация, которая рассматривается как надбавка к цене, уплачиваемая покупателем в ожидании будущих экономических выгод.</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Отрицательная деловая репутация рассматривается как скидка с цены, предоставляемая покупателю, и учитывается как доходы будущих периодов.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Оценка нематериальных активов. В учете и отчетности нематериальные активы отражают по первоначальной и остаточной стоимости. Отдельно отражают амортизацию нематериальных активов.</w:t>
      </w:r>
    </w:p>
    <w:p w:rsidR="008368B5"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Первоначальная стоимость определяется для объектов</w:t>
      </w:r>
      <w:r w:rsidR="008368B5" w:rsidRPr="00F63355">
        <w:rPr>
          <w:rFonts w:ascii="Times New Roman" w:hAnsi="Times New Roman" w:cs="Times New Roman"/>
          <w:sz w:val="28"/>
          <w:szCs w:val="28"/>
        </w:rPr>
        <w:t>:</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внесенных в счет вкладов в уставный капитал (фонд) — по договоренности сторон (согласованной стоимости);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приобретенных за плату у других организаций и лиц, — по фактически произведенным затратам на приобретение объектов и</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доведение их до состояния, пригодного к использованию;</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полученных безвозмездно от других организаций и лиц — по</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рыночной стоимости на дату оприходования.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Затраты по приобретению нематериальных активов включают суммы, выплаченные продавцу объекта, посредникам, за информационные и консультационные услуги, регистрационные сборы и пошлины, таможенные расходы и другие расходы, связанные с приобретением объектов.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Расходы по созданию нематериальных активов и доведению их до состояния, пригодного к использованию, складываются из начисленной соответствующим работникам оплаты труда, отчислений на социальные нужды, материальных затрат и общепроизводственных и общехозяйственных расходов.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Нематериальные активы, поступающие в организацию в порядке обмена на какое-либо имущество, оценивают исходя из стоимости обмениваемого имущества.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Оценка нематериальных активов, стоимость которых при приобретении определена в иностранной валюте, производится в рублях путем пересчета иностранной валюты по курсу Центрального банка РФ, действующему на дату приобретения объекта.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Стоимость нематериальных активов, по которой они приняты к учету, не подлежит изменению, кроме случаев, установленных законодательством РФ.</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2</w:t>
      </w:r>
      <w:r w:rsidR="007C3047" w:rsidRPr="00F63355">
        <w:rPr>
          <w:rFonts w:ascii="Times New Roman" w:hAnsi="Times New Roman" w:cs="Times New Roman"/>
          <w:b/>
          <w:sz w:val="28"/>
          <w:szCs w:val="28"/>
        </w:rPr>
        <w:t>. Документальное оформление движения нематериальных активов</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 xml:space="preserve">В настоящее время отсутствуют какие-либо рекомендации по документальному оформлению движения нематериальных активов. Поэтому организации должны сами разрабатывать формы соответствующих документов, исходя из Положения о документах и </w:t>
      </w:r>
      <w:r w:rsidR="008368B5" w:rsidRPr="00F63355">
        <w:rPr>
          <w:rFonts w:ascii="Times New Roman" w:hAnsi="Times New Roman" w:cs="Times New Roman"/>
          <w:sz w:val="28"/>
          <w:szCs w:val="28"/>
        </w:rPr>
        <w:t>доку</w:t>
      </w:r>
      <w:r w:rsidRPr="00F63355">
        <w:rPr>
          <w:rFonts w:ascii="Times New Roman" w:hAnsi="Times New Roman" w:cs="Times New Roman"/>
          <w:sz w:val="28"/>
          <w:szCs w:val="28"/>
        </w:rPr>
        <w:t>ментообороте в бухгалтерском учете и Федерального закона о бухгалтерском учете, определивших перечень обязательных реквизитов в документах, и особенностей учитываемых объектов.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Все операции по документальному оформлению движения нематериальных активов целесообразно осуществлять при участии постоянно действующей комиссии. По особо крупным объектам возможно издание приказа на приемку или списание конкретного объекта.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соответствии с особенностями нематериальных активов в документах по их поступлению и выбытию должна быть дана их характеристика, указаны порядок и срок использования, первоначальная стоимость, норма амортизации, дата ввода и вывода из эксплуатации, документы о регистрации и некоторые другие реквизиты. Особое внимание следует обратить на обоснованность оценки объектов нематериальных активов и правильность перехода права на их владение. Например, приобретение права на объекты, охраняемые патентным правом (изобретения, полезные модели и др.), должно подтверждаться соответствующими лицензионными договорами, зарегистрированными в Патентном отделе. Приобретенные права должны быть оформлены договорами с юридическими или физическими лицами.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Особенностью некоторых нематериальных активов как объектов учета является необходимость принятия мер по их защите. С этой целью целесообразно разработать особые внутренние правила охраны таких объектов, предусмотрев в них список лиц, имеющих право на ознакомление с ними, обязательства этих лиц не разглашать соответствующие сведения и свои должностные инструкции, а также другие необходимые сведения.</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3</w:t>
      </w:r>
      <w:r w:rsidR="007C3047" w:rsidRPr="00F63355">
        <w:rPr>
          <w:rFonts w:ascii="Times New Roman" w:hAnsi="Times New Roman" w:cs="Times New Roman"/>
          <w:b/>
          <w:sz w:val="28"/>
          <w:szCs w:val="28"/>
        </w:rPr>
        <w:t>. Синтетический и аналитический учет поступления и выбытия нематериальных активов</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Синтетический учет нематериальных активов осуществляют на счетах 04 «Нематериальные активы», 05 «Амортизация нематериальных активов», 19 «Налог на добавленную стоимость по приобретенным ценностям», субсчет 2 «НДС по приобретенным нематериальным активам», и счете 91 «Прочие доходы и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Счет 04 активный, предназначен для получения информации о наличии и движении нематериальных активов, принадлежащих организации на правах собственности. Учет нематериальных активов на счете 04 осуществляют в первоначальной оценке. По некоторым видам нематериальных активов со счета 04 списывают на счета затрат начисленную амортизацию по этим активам.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наличии в организации нескольких видов нематериальных активов значительной стоимости целесообразно для каждого вида активов открывать субсчета в соответствии с классификацией нематериальных активов, принятой в организации, например:</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04-1 «Объекты интеллектуальной собственности»; 04-2 «Отложенные затраты»; 04-3 «Деловая репутация»;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04-4 «Расходы организации на научно-исследовательские, опытно-конструкторские и технологические работы»; 04-5 «Прочие объекты».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 счете 05 «Амортизация нематериальных активов» отражают начисление и списание (при выбытии) амортизации по тем видам нематериальных активов, по которым погашение их стоимости производится с использованием счета 05.</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Основные виды поступления нематериальных активов</w:t>
      </w:r>
      <w:r w:rsidR="008368B5" w:rsidRPr="00F63355">
        <w:rPr>
          <w:rFonts w:ascii="Times New Roman" w:hAnsi="Times New Roman" w:cs="Times New Roman"/>
          <w:sz w:val="28"/>
          <w:szCs w:val="28"/>
        </w:rPr>
        <w:t>:</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их приобретение;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создание своими силами и с привлечением сторонних исполнителей на договорной основе;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приобретение на условиях обмена;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поступление в счет вклада в уставный капитал организации;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безвозмездное поступление;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поступление нематериальных активов для осуществления совместной деятельности.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Расходы по приобретению и созданию нематериальных активов относятся к долгосрочным инвестициям и отражаются по дебету счета 08 «Вложения во внеоборотные активы» с кредита расчетных, материальных и других счетов. После принятия на учет приобретенных или созданных нематериальных активов они отражаются по дебету счета 04 «Нематериальные активы» с кредита счета 08.</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Поступление нематериальных активов в порядке бартера (обмена) также первоначально отражают на счете 08 с кредита счета 60 «Расчеты с поставщиками и подрядчиками» или 76 «Расчеты с разными дебиторами и кредиторами» с последующим оприходованием по дебету счета 04 с кредита счета 08. Переданные в порядке бартера объекты имущества списывают с кредита соответствующих счетов (01, 10, 12,40 и др.) в дебет счетов продажи (90,91).</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 xml:space="preserve">Нематериальные активы, внесенные учредителями или участниками в счет их вкладов в уставный капитал организации (по </w:t>
      </w:r>
      <w:r w:rsidR="008368B5" w:rsidRPr="00F63355">
        <w:rPr>
          <w:rFonts w:ascii="Times New Roman" w:hAnsi="Times New Roman" w:cs="Times New Roman"/>
          <w:sz w:val="28"/>
          <w:szCs w:val="28"/>
        </w:rPr>
        <w:t>со</w:t>
      </w:r>
      <w:r w:rsidRPr="00F63355">
        <w:rPr>
          <w:rFonts w:ascii="Times New Roman" w:hAnsi="Times New Roman" w:cs="Times New Roman"/>
          <w:sz w:val="28"/>
          <w:szCs w:val="28"/>
        </w:rPr>
        <w:t>гласованной стоимости), отражают на счете 08 (по аналогии с основными средствами). При этом задолженность учредителя по вкладу в уставный капитал отражают по дебету счета 75 «Расчеты с учредителями» и кредиту счета 80 «Уставный капитал».</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Безвозмездно полученные нематериальные активы приходуются по дебету счета 08 «Вложения во внеоборотные активы» с кредита счета 98 «Доходы будущих периодов», субсчет 98-2 «Безвозмездные поступления». Со счета 08 первоначальная стоимость нематериальных активов списывается на счет 04 «Нематериальные активы».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Стоимость безвозмездно полученных нематериальных активов, учтенная на субсчете 98-2 «Безвозмездные поступления», в дальнейшем списывается ежемесячно в размере начисленных сумм амортизационных отчислений по объекту в кредит счета 91 «Прочие доходы и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Порядок учета нематериальных активов, поступивших для осуществления совместной деятельности, будет рассмотрен в разделе, посвященном учету совместной деятельности.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покупке организации вложения в приобретаемые внеоборотные активы отражают по дебету счета 08 «Вложения во внеоборотные активы» и кредиту счета 76 «Расчеты с разными дебиторами и кредиторами». Положительная деловая репутация записывается в дебет счета 04 «Нематериальные активы» с кредита счета 08. Отрицательная деловая репутация отражается по кредиту счета 98 «Доходы будущих периодов».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 приобретенным нематериальным активам организации уплачивают НДС по установленным ставкам. Порядок дальнейшего отражения операций по НДС зависит от назначения нематериальных активов (для производственных нужд, непроизводственных нужд и др.), вида организаций (сельскохозяйственные и малые организации, фермерские хозяйства) и осуществляется таким же образом, как и по основным средствам.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Вместе с тем следует иметь в виду, что в соответствии с НК РФ НДС по приобретенным нематериальным активам учитывается в</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общеустановленном порядке по дебету счета 19, субсчет «НДС по приобретенным нематериальным активам», в корреспонденции с кредитом счетов 60 и 76. Ежемесячно после принятия на учет нематериальных активов сумма НДС списывается с кредита счета 19 в дебет счета 68 «Расчеты по налогам и сборам»</w:t>
      </w:r>
      <w:r w:rsidR="008368B5" w:rsidRPr="00F63355">
        <w:rPr>
          <w:rFonts w:ascii="Times New Roman" w:hAnsi="Times New Roman" w:cs="Times New Roman"/>
          <w:sz w:val="28"/>
          <w:szCs w:val="28"/>
        </w:rPr>
        <w:t>.</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 безвозмездно поступившим нематериальным активам налогооблагаемая прибыль увеличивается на стоимость поступивших активов, но не ниже их остаточной стоимости, числящейся у передающей организации.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Основными видами выбытия нематериальных активов являются их продажа, списание вследствие непригодности, безвозмездная передача, передача нематериальных активов в счет вклада в уставные капиталы других организаций.</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выбытии нематериальных активов в результате их продажи, списания, безвозмездной передачи вся сумма накопленной амортизации списывается в дебет счета 05 «Амортизация нематериальных активов» с кредита счета 04 «Нематериальные активы», Остаточная стоимость нематериальных активов списывается со счета 04 в дебет счета 91 «Прочие доходы и расходы». В дебет счета 91 списываются также все расходы, связанные с выбытием нематериальных активов, и сумма НДС по проданным и безвозмездно переданным нематериальным активам. По кредиту счета 91 отражается сумма выручки от продажи или другого дохода от выбытия нематериальных активов.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Финансовый результат от выбытия нематериальных активов формируется на счете 91 и затем списывается со счета 91 на счет 99 «Прибыли и убытки». При этом если сумма выручки от продажи нематериальных активов превышает их остаточную стоимость и расходы, связанные с выбытием, то разницу списывают в дебет счета 91 и кредит счета 99. Если же остаточная стоимость выбывших нематериальных активов не возмещается выручкой от их реализации, то разницу между ними списывают с кредита счета 91 в дебет счета 99.</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безвозмездной передаче нематериальных активов плательщиком НДС является передающая сторона (принимающая сторона уплачивает налог на прибыль). Облагаемый оборот определяется исходя из средней цены продажи (без учета НДС), но не ниже остаточной стоимости нематериальных активов.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передаче нематериальных активов в счет вклада в уставные капиталы других организаций остаточная стоимость нематериальных активов списывается с кредита счета 04 в дебет счета 58 «Финансовые вложения». Сумма амортизации по переданным</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нематериальным активам списывается в дебет счета 05 с кредита счета 04.</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Превышение согласованной стоимости над остаточной стоимостью по переданным нематериальным активам отражают по дебету счета 58 и кредиту счета 91 «Прочие доходы и расходы». Обратная разница учитывается по дебету счета 91 и кредиту счета 58.</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Товарищ, внесший нематериальные активы в качестве вклада по договору о совместной деятельности, также отражает их в составе финансовых вложений. Однако оценивает нематериальные активы он по остаточной, а не по согласованной стоимости.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 счете 04 «Нематериальные активы» обособленно учитываются расходы организации на НИОКР, результаты которых используются для производственных либо управленческих нужд организации.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Указанные расходы принимаются к бухгалтерскому учету на счете 04 «Нематериальные активы» в сумме фактических затрат, при этом дебетуется счет 04 «Нематериальные активы» в корреспонденции счета 08 «Вложения во внеоборотные активы».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Со счета 04 «Нематериальные активы» расходы по НИОКР списываются в дебет счетов 20 «Основное производство», 26 «Общехозяйственные расходы» или других счетов по учету затрат на производство продукции.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Списание расходов по НИОКР осуществляют одним из следующих способов: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линейный;</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пропорционально объему продукции (работ, услуг), который предполагается получить за весь срок применения результатов НИОКР.</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Срок списания расходов по НИОКР определяется организацией самостоятельно, исходя из ожидаемого срока использования НИОКР. Предельный срок списания указанных расходов установлен в пять лет и не может превышать срок деятельности организации. В налоговом учете расходы на НИОКР должны быть списаны в течение трех лет.</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Расходы по НИОКР списываются с 1-го числа месяца, следующего за месяцем, в котором было начато применение результатов НИОКР. Списание расходов по указанным работам осуществляется равномерно в размере</w:t>
      </w:r>
      <w:r w:rsidR="008368B5" w:rsidRPr="00F63355">
        <w:rPr>
          <w:rFonts w:ascii="Times New Roman" w:hAnsi="Times New Roman" w:cs="Times New Roman"/>
          <w:sz w:val="28"/>
          <w:szCs w:val="28"/>
        </w:rPr>
        <w:t xml:space="preserve"> 1</w:t>
      </w:r>
      <w:r w:rsidRPr="00F63355">
        <w:rPr>
          <w:rFonts w:ascii="Times New Roman" w:hAnsi="Times New Roman" w:cs="Times New Roman"/>
          <w:sz w:val="28"/>
          <w:szCs w:val="28"/>
        </w:rPr>
        <w:t>/12 годовой суммы независимо от выбранного способа списания расходов.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случае прекращения использования результатов НИОКР оставшаяся часть расходов списывается со счета 04 на внереализационные расходы (счет 91 «Прочие доходы и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Аналитический учет по счету 04 «Нематериальные активы» ведется по отдельным объектам нематериальных активов, а также по видам расходов на НИОКР. При этом ведение аналитического учета должно обеспечивать возможность получения данных о наличии и движении нематериальных активов, а также суммах расходов по научно-исследовательским, опытно-конструкторским и технологическим работам.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Аналитический учет нематериальных активов осуществляют в карточке учета нематериальных активов. Карточка применяется для учета всех видов нематериальных активов. Открывается она на каждый объект в отдельности.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 лицевой стороне карточки указывают полное наименование и назначение объекта, первоначальную стоимость, срок полезного использования, норму и сумму начисленной амортизации, дату постановки на учет, способ приобретения, документ о регистрации и основные сведения по выбытию объекта (номер и дата документа, причина выбытия, сумма выручки от реализации).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 оборотной стороне карточки изложена характеристика объекта нематериальных активов.</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4</w:t>
      </w:r>
      <w:r w:rsidR="007C3047" w:rsidRPr="00F63355">
        <w:rPr>
          <w:rFonts w:ascii="Times New Roman" w:hAnsi="Times New Roman" w:cs="Times New Roman"/>
          <w:b/>
          <w:sz w:val="28"/>
          <w:szCs w:val="28"/>
        </w:rPr>
        <w:t>. Учет амортизации нематериальных активов</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Нематериальные активы используются длительное время, и в течение этого времени их стоимость равномерно (ежемесячно) переносится на производимую продукцию, выполненные работы и оказанные услуги путем начисления по ним амортизации. Величина амортизационных отчислений исчисляется ежемесячно по нормам, установленным самой организацией, исходя из первоначальной или остаточной стоимости нематериальных активов и срока их полезного использования (но не свыше срока деятельности организации). Срок полезного действия нематериальных активов определяется самой организацией; при затруднениях в установлении этого срока он принимается за 20 лет. По окончании срока полезного использования нематериальных активов амортизацию по ним не начисляют.</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 объектам, по которым погашается их стоимость, амортизация начисляется одним из следующих способов: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линейным — исходя из норм, начисленных организацией на основе срока их полезного использования;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способом уменьшаемого остатка;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способом списания стоимости пропорционально объему продукции (работ, услуг).</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Годовая сумма амортизационных отчислений определяется: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линейном способе — исходя из первоначальной стоимости объекта и нормы амортизации, исчисленной исходя из срока полезного использования объекта;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способе уменьшаемого остатка — исходя из остаточной стоимости объекта на начало года и нормы амортизации, исчисленной исходя из срока полезного использования объекта;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способе списания стоимости пропорционально объему продукции (работ) — исходя из натурального показателя объема продукции (работ) в отчетном периоде и соотношения первоначальной стоимости нематериального актива и предполагаемого объема продукции (работ) за весь срок полезного использования нематериального актива.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Применение одного из способов начисления амортизации по группе однородных нематериальных активов производится в течение всего срока их полезного использования.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 аналогии с основными средствами начисление амортизации по нематериальным активам целесообразно начинать с 1-го числа месяца, следующего за месяцем ввода объектов в эксплуатацию, и прекращать с 1-го числа месяца, следующего за месяцем выбытия из эксплуатации.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Амортизационные отчисления по нематериальным активам отражают в бухгалтерском учете двумя способами: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накоплением начисленных сумм на отдельном счете;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путем уменьшения первоначальной стоимости объекта.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первом способе при начислении амортизации по нематериальным активам дебетуют счета издержек производства или обращения (23 «Вспомогательные производства», 25 «Общепроизводственные расходы» и др.) и кредитуют счет 05 «Амортизация нематериальных активов».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втором способе первоначальная стоимость нематериальных активов списывается на счета издержек производства или обращения непосредственно со счета 04 «Нематериальные активы». Этот способ отражения амортизационных отчислений применяют по организационным расходам и положительной деловой репутации организации. Они амортизируются в течение 20 лет, но не более срока деятельности организации.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После полного списания первоначальной стоимости объектов при втором способе отражения амортизационных отчислений эти объекты отражаются в учете в условной оценке с отнесением суммы оценки на финансовые результаты организации.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Погашение стоимости отдельных видов нематериальных активов может не производиться. Как правило, это активы, стоимость которых со временем не уменьшается, либо активы, использование которых приносит постоянную и неуменьшающуюся прибыль, — товарные знаки и некоторые другие. Амортизация не начисляется также по нематериальным активам некоммерческих организаций.</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5</w:t>
      </w:r>
      <w:r w:rsidR="007C3047" w:rsidRPr="00F63355">
        <w:rPr>
          <w:rFonts w:ascii="Times New Roman" w:hAnsi="Times New Roman" w:cs="Times New Roman"/>
          <w:b/>
          <w:sz w:val="28"/>
          <w:szCs w:val="28"/>
        </w:rPr>
        <w:t>. Порядок учета хозяйственных операций при предоставлении права пользования нематериальными активами у организаций — правообладателей и правопользователей</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Исключительные права на объекты интеллектуальной собственности подтверждаются охранными документами (патентами, свидетельствами и др.), выдаваемыми Российским агентством по патентам и товарным знакам (Роспатентом). Владея этими правами, правообладатель имеет неограниченные возможности распоряжения ими: использовать их в своей деятельности, передать исключительные права новому владельцу, передать неисключительные права на использование объектов нематериальных активов другим юридическим или физическим лицам.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Передача новому владельцу исключительных прав на объект интеллектуальной собственности оформляется договором об уступке прав, в соответствии с которым сторона, принимающая исключительные права, становится правообладателем.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Организация, уступающая свои исключительные права, отражает выбытие соответствующего объекта нематериальных активов на его продажу. Остаточная стоимость объекта списывается с кредита счета 04 в дебет счета 91, сумма амортизации по переданному объекту — в дебет счета 05 с кредита счета 04, сумма НДС по объекту — в дебет счета 91 и кредит счета 68 «Расчеты по налогам и сборам».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Доходы, полученные от уступки исключительных прав на объекты нематериальных активов, признаются операционными доходами, полученная прибыль отражается по дебету счета 91 и кредиту счета 99 «Прибыли и убытки».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передаче права на использование объектов нематериальных активов другим юридическим или физическим лицам передаются неисключительные права; исключительные права остаются за собственником нематериальных активов. Передача указанных прав</w:t>
      </w:r>
      <w:r w:rsidR="008368B5" w:rsidRPr="00F63355">
        <w:rPr>
          <w:rFonts w:ascii="Times New Roman" w:hAnsi="Times New Roman" w:cs="Times New Roman"/>
          <w:sz w:val="28"/>
          <w:szCs w:val="28"/>
        </w:rPr>
        <w:t xml:space="preserve"> </w:t>
      </w:r>
      <w:r w:rsidRPr="00F63355">
        <w:rPr>
          <w:rFonts w:ascii="Times New Roman" w:hAnsi="Times New Roman" w:cs="Times New Roman"/>
          <w:sz w:val="28"/>
          <w:szCs w:val="28"/>
        </w:rPr>
        <w:t>оформляется лицензионным договором, в соответствии с которым одна сторона (лицензиар) разрешает другой стороне (лицензиату) использовать объект нематериальных активов на определенных договором условиях.</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передаче права на использование объектов нематериальных активов они остаются на балансе собственника. Передачу прав на объекты отражают записями по соответствующим субсчетам или аналитическим счетам по счету 04.</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За предоставленное право использования нематериальных активов лицензиат либо выплачивает лицензиару единовременное вознаграждение («паушальный платеж»), либо производит периодические платежи («роялти») в течение всего срока использования соответствующего объекта.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Порядок учета дохода у лицензиара зависит от направлений его деятельности. Если у лицензиара предоставление прав на использование объектов нематериальных активов является основной деятельностью, то начисление единовременного вознаграждения или периодических платежей оформляют бухгалтерской записью:</w:t>
      </w:r>
    </w:p>
    <w:p w:rsidR="008368B5"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 xml:space="preserve">Дебет счета 76 «Расчеты с разными дебиторами и </w:t>
      </w:r>
      <w:r w:rsidR="008368B5" w:rsidRPr="00F63355">
        <w:rPr>
          <w:rFonts w:ascii="Times New Roman" w:hAnsi="Times New Roman" w:cs="Times New Roman"/>
          <w:sz w:val="28"/>
          <w:szCs w:val="28"/>
        </w:rPr>
        <w:t>кредиторами»</w:t>
      </w:r>
    </w:p>
    <w:p w:rsidR="008368B5"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Кредит счета 90 «Продажи»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субсчет 1 «Выручка»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случае когда предоставление указанных прав не является предметом деятельности лицензиара, начисленное вознаграждение или периодические платежи отражают по дебету счета 76 и кредиту счета 91 «Прочие доходы и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Сумму начисленной амортизации по соответствующим объектам нематериальных активов в первом случае относят на счета учета затрат по основной деятельности, а во втором случае — в дебет счета 91 «Прочие доходы и расходы».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У лицензиата нематериальные активы, полученные в использование, учитываются за балансом в оценке, указанной в лицензионном договоре.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Начисление единовременного вознаграждения за предоставленное право на использование объектов нематериальных активов отражают по дебету счета 97 «Расходы будущих периодов» и кредиту счета 76. В течение срока действия лицензионного договора со счета 97 расходы списываются равномерно на счета учета затрат на производство. Периодические платежи по лицензионному договору ежемесячно списывают на счета учета затрат на производство с кредита счета 76.</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6</w:t>
      </w:r>
      <w:r w:rsidR="007C3047" w:rsidRPr="00F63355">
        <w:rPr>
          <w:rFonts w:ascii="Times New Roman" w:hAnsi="Times New Roman" w:cs="Times New Roman"/>
          <w:b/>
          <w:sz w:val="28"/>
          <w:szCs w:val="28"/>
        </w:rPr>
        <w:t>. Особенности учета деловой репутации</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Под деловой репутацией организации, как уже отмечалось, понимают разницу между покупной ценой организации и балансовой стоимостью ее имущества. Эта разница может быть положительной и отрицательной. Положительная деловая репутация возникает при превышении покупной цены над балансовой стоимостью имущества приобретенной организации; она включается в состав нематериальных активов. Отрицательная деловая репутация образуется при превышении балансовой стоимости приобретенного имущества над покупной ценой; она учитывается в качестве доходов будущих периодов.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процессе деятельности организации ее деловая репутация (цена фирмы) может изменяться, однако это не отражается в бухгалтерском учете и отчетности. Объектом бухгалтерского учета деловая репутация становится только в момент купли-продажи организации или ее части.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приобретении организации по цене, превышающей балансовую стоимость ее имущества, купленное имущество приходуется на соответствующих счетах по балансовой стоимости с кредита счета 76 «Расчеты с разными дебиторами и кредиторами». Деловая репутация приходуется по счету 04 «Нематериальные активы» с кредита счета 76.</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Пример 1. Организация А приобрела организацию Б за 1200 тыс. руб. Балансовая стоимость имущества организации Б составляет 1 млн. руб., в том числе основных средств — 600 тыс. руб., производственных запасов — 300 тыс. руб., прочих активов —100 тыс. руб.</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Балансовая стоимость имущества организации А составила 5 млн руб., в том числе основных средств — 3 млн руб., производственных запасов — 1 млн руб., прочих активов — 1 млн руб. После приобретения организации Б балансовая стоимость имущества организации А составила 6,2 млн руб., в том числе основных средств — 3,6 млн руб., производственных запасов — 1,3 млн руб., прочих активов — 1,1 млн руб., нематериальных активов — 0,2 млн руб.</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организации А в бухгалтерском учете по операции приобретения организации Б будут сделаны следующие записи:</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Дебет счета 01 «Основные средства» — 600 тыс. руб. Дебет счета 10 «Материалы» — 300 тыс. руб. Дебет других счётов имущества — 100 тыс. руб. Дебет счета 04 «Нематериальные активы» — 200 тыс. руб. Кредит счета 76 «Расчеты с разными дебиторами и кредиторами» — 1200 тыс. руб.</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Пример 2. Организация А приобрела организацию Б за 700 тыс. руб. Остальные условия аналогичны условиям примера 1.</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организации А в бухгалтерском учете по операции приобретения организации Б будут осуществлены следующие записи:</w:t>
      </w:r>
    </w:p>
    <w:p w:rsid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1)</w:t>
      </w:r>
      <w:r w:rsidRPr="00F63355">
        <w:rPr>
          <w:rFonts w:ascii="Times New Roman" w:hAnsi="Times New Roman" w:cs="Times New Roman"/>
          <w:sz w:val="28"/>
          <w:szCs w:val="28"/>
        </w:rPr>
        <w:tab/>
        <w:t>Дебет счета 01 «Основные средства» — 600 тыс. руб.</w:t>
      </w:r>
    </w:p>
    <w:p w:rsid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Дебет счета 10 «Материалы» — 300 тыс. руб.</w:t>
      </w:r>
    </w:p>
    <w:p w:rsid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Дебет других счетов имущества — 100 тыс. руб.</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Кредит счета 76 «Расчеты с разными дебиторами</w:t>
      </w:r>
      <w:r w:rsidR="00F63355">
        <w:rPr>
          <w:rFonts w:ascii="Times New Roman" w:hAnsi="Times New Roman" w:cs="Times New Roman"/>
          <w:sz w:val="28"/>
          <w:szCs w:val="28"/>
        </w:rPr>
        <w:t xml:space="preserve"> </w:t>
      </w:r>
      <w:r w:rsidRPr="00F63355">
        <w:rPr>
          <w:rFonts w:ascii="Times New Roman" w:hAnsi="Times New Roman" w:cs="Times New Roman"/>
          <w:sz w:val="28"/>
          <w:szCs w:val="28"/>
        </w:rPr>
        <w:t>и кредиторами» — 1000 тыс. руб.</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2)</w:t>
      </w:r>
      <w:r w:rsidRPr="00F63355">
        <w:rPr>
          <w:rFonts w:ascii="Times New Roman" w:hAnsi="Times New Roman" w:cs="Times New Roman"/>
          <w:sz w:val="28"/>
          <w:szCs w:val="28"/>
        </w:rPr>
        <w:tab/>
        <w:t>Дебет счета 76</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Кредит счета 98 «Доходы будущих периодов» - 300 тыс. руб.</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Приобретенная деловая репутация амортизируется в течение 20 лет (но не более срока деятельности организации) путем равномерного уменьшения ее первоначальной стоимости. Ежемесячно сумму амортизации списывают в дебет счетов учета затрат на производство с кредита счета 04 «Нематериальные активы».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Отрицательная деловая репутация организации равномерно относится на финансовые результаты организации. При этом дебетуют счет 91 «Прочие доходы и расходы».</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7</w:t>
      </w:r>
      <w:r w:rsidR="007C3047" w:rsidRPr="00F63355">
        <w:rPr>
          <w:rFonts w:ascii="Times New Roman" w:hAnsi="Times New Roman" w:cs="Times New Roman"/>
          <w:b/>
          <w:sz w:val="28"/>
          <w:szCs w:val="28"/>
        </w:rPr>
        <w:t>. Инвентаризация нематериальных активов</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При инвентаризации нематериальных активов особое внимание обращают на наличие надлежаще оформленных документов, подтверждающих существование самого актива и исключительных прав на результаты интеллектуальной собственности (наличие патентов, свидетельств, договоров уступки (приобретения) патентов товарного знака и т.п.).</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Необходимо проверить обоснованность включения соответствующих объектов в состав нематериальных активов. Следует при этом иметь в виду, что перечень объектов нематериальных активов в соответствии с п. 4 ПБУ14/2000 является закрытым. Поэтому выявленные при инвентаризации объекты, не соответствующие критериям отнесения их к объектам нематериальных активов, необходимо списать со счета 04 «Нематериальные активы» (лицензии, квартиры и т.п.).</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Следует проверить факт действительного использования объектов нематериальных активов в производстве продукции, при выполнении работ, оказании услуг или для управленческих нужд организации. Если объекты немате</w:t>
      </w:r>
      <w:r w:rsidR="002705A7" w:rsidRPr="00F63355">
        <w:rPr>
          <w:rFonts w:ascii="Times New Roman" w:hAnsi="Times New Roman" w:cs="Times New Roman"/>
          <w:sz w:val="28"/>
          <w:szCs w:val="28"/>
        </w:rPr>
        <w:t>риальных активов в указанных цел</w:t>
      </w:r>
      <w:r w:rsidRPr="00F63355">
        <w:rPr>
          <w:rFonts w:ascii="Times New Roman" w:hAnsi="Times New Roman" w:cs="Times New Roman"/>
          <w:sz w:val="28"/>
          <w:szCs w:val="28"/>
        </w:rPr>
        <w:t>ях не используются и не выявлено реальное намерение их использовать, то такие объекты подлежат списанию или продаже.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процессе инвентаризации нематериальных активов проверяют также правильность отражения в отчетности стоимости нематериальных активов, их состава, сумм начисленной амортизации и раскрытия информации в отчетности и пояснительной записке.</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Учетные и фактические данные по объектам нематериальных активов, а также выявленные количественные и стоимостные расхождения по соответствующим данным отражают в Инвентаризационной описи нематериальных активов (форма № ИНВ — 1а).</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2705A7" w:rsidP="00F63355">
      <w:pPr>
        <w:tabs>
          <w:tab w:val="left" w:pos="1134"/>
        </w:tabs>
        <w:spacing w:line="360" w:lineRule="auto"/>
        <w:ind w:firstLine="720"/>
        <w:jc w:val="center"/>
        <w:rPr>
          <w:rFonts w:ascii="Times New Roman" w:hAnsi="Times New Roman" w:cs="Times New Roman"/>
          <w:b/>
          <w:sz w:val="28"/>
          <w:szCs w:val="28"/>
        </w:rPr>
      </w:pPr>
      <w:r w:rsidRPr="00F63355">
        <w:rPr>
          <w:rFonts w:ascii="Times New Roman" w:hAnsi="Times New Roman" w:cs="Times New Roman"/>
          <w:b/>
          <w:sz w:val="28"/>
          <w:szCs w:val="28"/>
        </w:rPr>
        <w:t>8</w:t>
      </w:r>
      <w:r w:rsidR="007C3047" w:rsidRPr="00F63355">
        <w:rPr>
          <w:rFonts w:ascii="Times New Roman" w:hAnsi="Times New Roman" w:cs="Times New Roman"/>
          <w:b/>
          <w:sz w:val="28"/>
          <w:szCs w:val="28"/>
        </w:rPr>
        <w:t>. Раскрытие информации о нематериальных активах в бухгалтерской отчетности</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Сведения о наличии нематериальных активов на начало и конец отчетного периода содержатся в бухгалтерском балансе. Данные о наличии на начало и конец отчетного периода, поступлении и выбытии отдельных видов нематериальных активов содержатся в Приложении к бухгалтерскому балансу. В этой же форме отчетности указывается сумма начисленной амортизации по нематериальным активам.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составе информации об учетной политике организации в соответствии с ПБУ14/2000 подлежит раскрытию как минимум следующая информация:</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 способах оценки нематериальных активов, приобретенных не за денежные средства;</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 принятых организацией сроках полезного использования нематериальных активов (по отдельным группам);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 способах начисления амортизационных отчислений по отдельным группам нематериальных активов;</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о способах отражения в бухгалтерском учете амортизационных отчислений по нематериальным активам.</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ПБУ 17/02 определено, что в случае существенности информация о расходах по НИОКР отражается в бухгалтерском балансе по самостоятельной группе статей актива (раздел «Внеоборотные активы»).</w:t>
      </w:r>
    </w:p>
    <w:p w:rsidR="007C3047" w:rsidRPr="00F63355" w:rsidRDefault="007C3047" w:rsidP="00F63355">
      <w:pPr>
        <w:tabs>
          <w:tab w:val="left" w:pos="1134"/>
        </w:tabs>
        <w:spacing w:line="360" w:lineRule="auto"/>
        <w:ind w:firstLine="720"/>
        <w:jc w:val="both"/>
        <w:rPr>
          <w:rFonts w:ascii="Times New Roman" w:hAnsi="Times New Roman" w:cs="Times New Roman"/>
          <w:sz w:val="28"/>
          <w:szCs w:val="28"/>
        </w:rPr>
      </w:pPr>
      <w:r w:rsidRPr="00F63355">
        <w:rPr>
          <w:rFonts w:ascii="Times New Roman" w:hAnsi="Times New Roman" w:cs="Times New Roman"/>
          <w:sz w:val="28"/>
          <w:szCs w:val="28"/>
        </w:rPr>
        <w:t>В составе информации об учетной политике организации в бухгалтерской отчетности подлежит раскрытию как минимум информация о способах списания и сроках списания расходов по НИОКР.</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2705A7" w:rsidRPr="00F63355" w:rsidRDefault="00F63355" w:rsidP="00F63355">
      <w:pPr>
        <w:tabs>
          <w:tab w:val="left" w:pos="1134"/>
        </w:tabs>
        <w:spacing w:line="360" w:lineRule="auto"/>
        <w:ind w:firstLine="720"/>
        <w:jc w:val="center"/>
        <w:rPr>
          <w:rFonts w:ascii="Times New Roman" w:hAnsi="Times New Roman" w:cs="Times New Roman"/>
          <w:b/>
          <w:sz w:val="28"/>
          <w:szCs w:val="28"/>
        </w:rPr>
      </w:pPr>
      <w:r>
        <w:rPr>
          <w:rFonts w:ascii="Times New Roman" w:hAnsi="Times New Roman" w:cs="Times New Roman"/>
          <w:sz w:val="28"/>
          <w:szCs w:val="28"/>
        </w:rPr>
        <w:br w:type="page"/>
      </w:r>
      <w:r w:rsidR="002705A7" w:rsidRPr="00F63355">
        <w:rPr>
          <w:rFonts w:ascii="Times New Roman" w:hAnsi="Times New Roman" w:cs="Times New Roman"/>
          <w:b/>
          <w:sz w:val="28"/>
          <w:szCs w:val="28"/>
        </w:rPr>
        <w:t>Список литературы</w:t>
      </w:r>
    </w:p>
    <w:p w:rsidR="002705A7" w:rsidRPr="00F63355" w:rsidRDefault="002705A7" w:rsidP="00F63355">
      <w:pPr>
        <w:tabs>
          <w:tab w:val="left" w:pos="1134"/>
        </w:tabs>
        <w:spacing w:line="360" w:lineRule="auto"/>
        <w:ind w:firstLine="720"/>
        <w:jc w:val="both"/>
        <w:rPr>
          <w:rFonts w:ascii="Times New Roman" w:hAnsi="Times New Roman" w:cs="Times New Roman"/>
          <w:sz w:val="28"/>
          <w:szCs w:val="28"/>
        </w:rPr>
      </w:pPr>
    </w:p>
    <w:p w:rsidR="002705A7" w:rsidRPr="00F63355" w:rsidRDefault="002705A7" w:rsidP="00F63355">
      <w:pPr>
        <w:tabs>
          <w:tab w:val="left" w:pos="426"/>
          <w:tab w:val="left" w:pos="1134"/>
        </w:tabs>
        <w:spacing w:line="360" w:lineRule="auto"/>
        <w:rPr>
          <w:rFonts w:ascii="Times New Roman" w:hAnsi="Times New Roman" w:cs="Times New Roman"/>
          <w:sz w:val="28"/>
          <w:szCs w:val="28"/>
        </w:rPr>
      </w:pPr>
      <w:r w:rsidRPr="00F63355">
        <w:rPr>
          <w:rFonts w:ascii="Times New Roman" w:hAnsi="Times New Roman" w:cs="Times New Roman"/>
          <w:sz w:val="28"/>
          <w:szCs w:val="28"/>
        </w:rPr>
        <w:t>1.</w:t>
      </w:r>
      <w:r w:rsidRPr="00F63355">
        <w:rPr>
          <w:rFonts w:ascii="Times New Roman" w:hAnsi="Times New Roman" w:cs="Times New Roman"/>
          <w:sz w:val="28"/>
          <w:szCs w:val="28"/>
        </w:rPr>
        <w:tab/>
        <w:t>Астахов В.П. Теория бухгалтерского учета: Изд. 11-е, перераб. И допол. – Ростов н/Д: Феникс, 2007.</w:t>
      </w:r>
    </w:p>
    <w:p w:rsidR="002705A7" w:rsidRPr="00F63355" w:rsidRDefault="002705A7" w:rsidP="00F63355">
      <w:pPr>
        <w:tabs>
          <w:tab w:val="left" w:pos="426"/>
          <w:tab w:val="left" w:pos="1134"/>
        </w:tabs>
        <w:spacing w:line="360" w:lineRule="auto"/>
        <w:rPr>
          <w:rFonts w:ascii="Times New Roman" w:hAnsi="Times New Roman" w:cs="Times New Roman"/>
          <w:sz w:val="28"/>
          <w:szCs w:val="28"/>
        </w:rPr>
      </w:pPr>
      <w:r w:rsidRPr="00F63355">
        <w:rPr>
          <w:rFonts w:ascii="Times New Roman" w:hAnsi="Times New Roman" w:cs="Times New Roman"/>
          <w:sz w:val="28"/>
          <w:szCs w:val="28"/>
        </w:rPr>
        <w:t>2.</w:t>
      </w:r>
      <w:r w:rsidRPr="00F63355">
        <w:rPr>
          <w:rFonts w:ascii="Times New Roman" w:hAnsi="Times New Roman" w:cs="Times New Roman"/>
          <w:sz w:val="28"/>
          <w:szCs w:val="28"/>
        </w:rPr>
        <w:tab/>
        <w:t>Богатая И.Н. Бухгалтерский учет – 4-е изд., перераб. И допол. – Ростов н/Д: Феникс, 2007.</w:t>
      </w:r>
    </w:p>
    <w:p w:rsidR="002705A7" w:rsidRPr="00F63355" w:rsidRDefault="002705A7" w:rsidP="00F63355">
      <w:pPr>
        <w:tabs>
          <w:tab w:val="left" w:pos="426"/>
          <w:tab w:val="left" w:pos="1134"/>
        </w:tabs>
        <w:spacing w:line="360" w:lineRule="auto"/>
        <w:rPr>
          <w:rFonts w:ascii="Times New Roman" w:hAnsi="Times New Roman" w:cs="Times New Roman"/>
          <w:sz w:val="28"/>
          <w:szCs w:val="28"/>
        </w:rPr>
      </w:pPr>
      <w:r w:rsidRPr="00F63355">
        <w:rPr>
          <w:rFonts w:ascii="Times New Roman" w:hAnsi="Times New Roman" w:cs="Times New Roman"/>
          <w:sz w:val="28"/>
          <w:szCs w:val="28"/>
        </w:rPr>
        <w:t>3.</w:t>
      </w:r>
      <w:r w:rsidRPr="00F63355">
        <w:rPr>
          <w:rFonts w:ascii="Times New Roman" w:hAnsi="Times New Roman" w:cs="Times New Roman"/>
          <w:sz w:val="28"/>
          <w:szCs w:val="28"/>
        </w:rPr>
        <w:tab/>
        <w:t>Дмитриева И.М. Бухгалтерский учет и аудит: Учеб. пособие / Под ред. М.И. Баканова. – М.: Финансы и статистика,2006. – 272 с.</w:t>
      </w:r>
    </w:p>
    <w:p w:rsidR="002705A7" w:rsidRPr="00F63355" w:rsidRDefault="002705A7" w:rsidP="00F63355">
      <w:pPr>
        <w:tabs>
          <w:tab w:val="left" w:pos="426"/>
          <w:tab w:val="left" w:pos="1134"/>
        </w:tabs>
        <w:spacing w:line="360" w:lineRule="auto"/>
        <w:rPr>
          <w:rFonts w:ascii="Times New Roman" w:hAnsi="Times New Roman" w:cs="Times New Roman"/>
          <w:sz w:val="28"/>
          <w:szCs w:val="28"/>
        </w:rPr>
      </w:pPr>
      <w:r w:rsidRPr="00F63355">
        <w:rPr>
          <w:rFonts w:ascii="Times New Roman" w:hAnsi="Times New Roman" w:cs="Times New Roman"/>
          <w:sz w:val="28"/>
          <w:szCs w:val="28"/>
        </w:rPr>
        <w:t>4.</w:t>
      </w:r>
      <w:r w:rsidRPr="00F63355">
        <w:rPr>
          <w:rFonts w:ascii="Times New Roman" w:hAnsi="Times New Roman" w:cs="Times New Roman"/>
          <w:sz w:val="28"/>
          <w:szCs w:val="28"/>
        </w:rPr>
        <w:tab/>
        <w:t>Каморджанова Н.А., Карташов И.Л. Бухгалтерский финансовый учет.-Ростов-на-Дону.-2006.</w:t>
      </w:r>
    </w:p>
    <w:p w:rsidR="002705A7" w:rsidRPr="00F63355" w:rsidRDefault="002705A7" w:rsidP="00F63355">
      <w:pPr>
        <w:tabs>
          <w:tab w:val="left" w:pos="426"/>
          <w:tab w:val="left" w:pos="1134"/>
        </w:tabs>
        <w:spacing w:line="360" w:lineRule="auto"/>
        <w:rPr>
          <w:rFonts w:ascii="Times New Roman" w:hAnsi="Times New Roman" w:cs="Times New Roman"/>
          <w:sz w:val="28"/>
          <w:szCs w:val="28"/>
        </w:rPr>
      </w:pPr>
      <w:r w:rsidRPr="00F63355">
        <w:rPr>
          <w:rFonts w:ascii="Times New Roman" w:hAnsi="Times New Roman" w:cs="Times New Roman"/>
          <w:sz w:val="28"/>
          <w:szCs w:val="28"/>
        </w:rPr>
        <w:t>5.</w:t>
      </w:r>
      <w:r w:rsidRPr="00F63355">
        <w:rPr>
          <w:rFonts w:ascii="Times New Roman" w:hAnsi="Times New Roman" w:cs="Times New Roman"/>
          <w:sz w:val="28"/>
          <w:szCs w:val="28"/>
        </w:rPr>
        <w:tab/>
        <w:t>Теория бухгалтерского учета: Сборник задач и хозяйственных ситуаций: Учебное пособие/под ред. А.Н. Кизилова. – М.: ИКЦ «Март», Ростов н/Д: Издательский центр «МарТ», 2004 –304с. (серия «Практикум»)</w:t>
      </w:r>
    </w:p>
    <w:p w:rsidR="002705A7" w:rsidRPr="00F63355" w:rsidRDefault="002705A7" w:rsidP="00F63355">
      <w:pPr>
        <w:tabs>
          <w:tab w:val="left" w:pos="426"/>
          <w:tab w:val="left" w:pos="1134"/>
        </w:tabs>
        <w:spacing w:line="360" w:lineRule="auto"/>
        <w:rPr>
          <w:rFonts w:ascii="Times New Roman" w:hAnsi="Times New Roman" w:cs="Times New Roman"/>
          <w:sz w:val="28"/>
          <w:szCs w:val="28"/>
        </w:rPr>
      </w:pPr>
      <w:r w:rsidRPr="00F63355">
        <w:rPr>
          <w:rFonts w:ascii="Times New Roman" w:hAnsi="Times New Roman" w:cs="Times New Roman"/>
          <w:sz w:val="28"/>
          <w:szCs w:val="28"/>
        </w:rPr>
        <w:t>6.</w:t>
      </w:r>
      <w:r w:rsidRPr="00F63355">
        <w:rPr>
          <w:rFonts w:ascii="Times New Roman" w:hAnsi="Times New Roman" w:cs="Times New Roman"/>
          <w:sz w:val="28"/>
          <w:szCs w:val="28"/>
        </w:rPr>
        <w:tab/>
        <w:t>Бухгалтерский (финансовый) учет: Сборник задач и хозяйственных ситуаций: Учебное пособие/под ред. А.Н. Кизилова. – М.: ИКЦ «Март», Ростов н/Д: Издательский центр «МарТ», 2006 –336с. (серия «Практикум»)</w:t>
      </w:r>
      <w:bookmarkStart w:id="0" w:name="_GoBack"/>
      <w:bookmarkEnd w:id="0"/>
    </w:p>
    <w:sectPr w:rsidR="002705A7" w:rsidRPr="00F63355" w:rsidSect="00F63355">
      <w:pgSz w:w="11907" w:h="16839" w:code="9"/>
      <w:pgMar w:top="1134" w:right="851" w:bottom="1134" w:left="1701" w:header="720" w:footer="720"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F64EE06"/>
    <w:lvl w:ilvl="0">
      <w:numFmt w:val="bullet"/>
      <w:lvlText w:val="*"/>
      <w:lvlJc w:val="left"/>
    </w:lvl>
  </w:abstractNum>
  <w:abstractNum w:abstractNumId="1">
    <w:nsid w:val="09967CCE"/>
    <w:multiLevelType w:val="singleLevel"/>
    <w:tmpl w:val="6CC8AC04"/>
    <w:lvl w:ilvl="0">
      <w:start w:val="14"/>
      <w:numFmt w:val="decimal"/>
      <w:lvlText w:val="%1"/>
      <w:legacy w:legacy="1" w:legacySpace="0" w:legacyIndent="238"/>
      <w:lvlJc w:val="left"/>
      <w:rPr>
        <w:rFonts w:ascii="Sylfaen" w:hAnsi="Sylfaen" w:cs="Times New Roman" w:hint="default"/>
      </w:rPr>
    </w:lvl>
  </w:abstractNum>
  <w:abstractNum w:abstractNumId="2">
    <w:nsid w:val="0E032C15"/>
    <w:multiLevelType w:val="singleLevel"/>
    <w:tmpl w:val="D0422D38"/>
    <w:lvl w:ilvl="0">
      <w:start w:val="10"/>
      <w:numFmt w:val="decimal"/>
      <w:lvlText w:val="%1"/>
      <w:legacy w:legacy="1" w:legacySpace="0" w:legacyIndent="231"/>
      <w:lvlJc w:val="left"/>
      <w:rPr>
        <w:rFonts w:ascii="Sylfaen" w:hAnsi="Sylfaen" w:cs="Times New Roman" w:hint="default"/>
      </w:rPr>
    </w:lvl>
  </w:abstractNum>
  <w:abstractNum w:abstractNumId="3">
    <w:nsid w:val="39373B53"/>
    <w:multiLevelType w:val="singleLevel"/>
    <w:tmpl w:val="5CCC588E"/>
    <w:lvl w:ilvl="0">
      <w:start w:val="1"/>
      <w:numFmt w:val="decimal"/>
      <w:lvlText w:val="%1."/>
      <w:legacy w:legacy="1" w:legacySpace="0" w:legacyIndent="338"/>
      <w:lvlJc w:val="left"/>
      <w:rPr>
        <w:rFonts w:ascii="Sylfaen" w:hAnsi="Sylfaen" w:cs="Times New Roman" w:hint="default"/>
      </w:rPr>
    </w:lvl>
  </w:abstractNum>
  <w:abstractNum w:abstractNumId="4">
    <w:nsid w:val="410F19E3"/>
    <w:multiLevelType w:val="singleLevel"/>
    <w:tmpl w:val="BC9AF978"/>
    <w:lvl w:ilvl="0">
      <w:start w:val="1"/>
      <w:numFmt w:val="decimal"/>
      <w:lvlText w:val="%1"/>
      <w:legacy w:legacy="1" w:legacySpace="0" w:legacyIndent="144"/>
      <w:lvlJc w:val="left"/>
      <w:rPr>
        <w:rFonts w:ascii="Sylfaen" w:hAnsi="Sylfaen" w:cs="Times New Roman" w:hint="default"/>
      </w:rPr>
    </w:lvl>
  </w:abstractNum>
  <w:abstractNum w:abstractNumId="5">
    <w:nsid w:val="6C8C7540"/>
    <w:multiLevelType w:val="singleLevel"/>
    <w:tmpl w:val="D67ABA64"/>
    <w:lvl w:ilvl="0">
      <w:start w:val="10"/>
      <w:numFmt w:val="decimal"/>
      <w:lvlText w:val="%1"/>
      <w:legacy w:legacy="1" w:legacySpace="0" w:legacyIndent="237"/>
      <w:lvlJc w:val="left"/>
      <w:rPr>
        <w:rFonts w:ascii="Sylfaen" w:hAnsi="Sylfaen" w:cs="Times New Roman" w:hint="default"/>
      </w:rPr>
    </w:lvl>
  </w:abstractNum>
  <w:abstractNum w:abstractNumId="6">
    <w:nsid w:val="7A5D1275"/>
    <w:multiLevelType w:val="singleLevel"/>
    <w:tmpl w:val="8F8EB93A"/>
    <w:lvl w:ilvl="0">
      <w:start w:val="1"/>
      <w:numFmt w:val="decimal"/>
      <w:lvlText w:val="%1)"/>
      <w:legacy w:legacy="1" w:legacySpace="0" w:legacyIndent="216"/>
      <w:lvlJc w:val="left"/>
      <w:rPr>
        <w:rFonts w:ascii="Sylfaen" w:hAnsi="Sylfaen" w:cs="Times New Roman" w:hint="default"/>
      </w:rPr>
    </w:lvl>
  </w:abstractNum>
  <w:abstractNum w:abstractNumId="7">
    <w:nsid w:val="7B7916C1"/>
    <w:multiLevelType w:val="singleLevel"/>
    <w:tmpl w:val="0EB80ECC"/>
    <w:lvl w:ilvl="0">
      <w:start w:val="1"/>
      <w:numFmt w:val="decimal"/>
      <w:lvlText w:val="%1."/>
      <w:legacy w:legacy="1" w:legacySpace="0" w:legacyIndent="331"/>
      <w:lvlJc w:val="left"/>
      <w:rPr>
        <w:rFonts w:ascii="Sylfaen" w:hAnsi="Sylfaen" w:cs="Times New Roman" w:hint="default"/>
      </w:rPr>
    </w:lvl>
  </w:abstractNum>
  <w:num w:numId="1">
    <w:abstractNumId w:val="7"/>
  </w:num>
  <w:num w:numId="2">
    <w:abstractNumId w:val="0"/>
    <w:lvlOverride w:ilvl="0">
      <w:lvl w:ilvl="0">
        <w:numFmt w:val="bullet"/>
        <w:lvlText w:val="•"/>
        <w:legacy w:legacy="1" w:legacySpace="0" w:legacyIndent="288"/>
        <w:lvlJc w:val="left"/>
        <w:rPr>
          <w:rFonts w:ascii="Sylfaen" w:hAnsi="Sylfaen" w:hint="default"/>
        </w:rPr>
      </w:lvl>
    </w:lvlOverride>
  </w:num>
  <w:num w:numId="3">
    <w:abstractNumId w:val="6"/>
  </w:num>
  <w:num w:numId="4">
    <w:abstractNumId w:val="0"/>
    <w:lvlOverride w:ilvl="0">
      <w:lvl w:ilvl="0">
        <w:numFmt w:val="bullet"/>
        <w:lvlText w:val="•"/>
        <w:legacy w:legacy="1" w:legacySpace="0" w:legacyIndent="295"/>
        <w:lvlJc w:val="left"/>
        <w:rPr>
          <w:rFonts w:ascii="Sylfaen" w:hAnsi="Sylfaen" w:hint="default"/>
        </w:rPr>
      </w:lvl>
    </w:lvlOverride>
  </w:num>
  <w:num w:numId="5">
    <w:abstractNumId w:val="3"/>
  </w:num>
  <w:num w:numId="6">
    <w:abstractNumId w:val="5"/>
  </w:num>
  <w:num w:numId="7">
    <w:abstractNumId w:val="1"/>
  </w:num>
  <w:num w:numId="8">
    <w:abstractNumId w:val="4"/>
  </w:num>
  <w:num w:numId="9">
    <w:abstractNumId w:val="4"/>
    <w:lvlOverride w:ilvl="0">
      <w:lvl w:ilvl="0">
        <w:start w:val="1"/>
        <w:numFmt w:val="decimal"/>
        <w:lvlText w:val="%1"/>
        <w:legacy w:legacy="1" w:legacySpace="0" w:legacyIndent="145"/>
        <w:lvlJc w:val="left"/>
        <w:rPr>
          <w:rFonts w:ascii="Sylfaen" w:hAnsi="Sylfaen" w:cs="Times New Roman" w:hint="default"/>
        </w:rPr>
      </w:lvl>
    </w:lvlOverride>
  </w:num>
  <w:num w:numId="10">
    <w:abstractNumId w:val="2"/>
  </w:num>
  <w:num w:numId="11">
    <w:abstractNumId w:val="0"/>
    <w:lvlOverride w:ilvl="0">
      <w:lvl w:ilvl="0">
        <w:numFmt w:val="bullet"/>
        <w:lvlText w:val="•"/>
        <w:legacy w:legacy="1" w:legacySpace="0" w:legacyIndent="302"/>
        <w:lvlJc w:val="left"/>
        <w:rPr>
          <w:rFonts w:ascii="Sylfaen" w:hAnsi="Sylfae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68B5"/>
    <w:rsid w:val="001147D5"/>
    <w:rsid w:val="002705A7"/>
    <w:rsid w:val="00356860"/>
    <w:rsid w:val="005C632F"/>
    <w:rsid w:val="007A47CF"/>
    <w:rsid w:val="007C3047"/>
    <w:rsid w:val="00823C20"/>
    <w:rsid w:val="008368B5"/>
    <w:rsid w:val="00A422D5"/>
    <w:rsid w:val="00F63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2EF6E7C-383E-44BA-A447-52B945084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Sylfaen" w:hAnsi="Sylfaen" w:cs="Sylfae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5510</Words>
  <Characters>31412</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36849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Евгений Васильевич</dc:creator>
  <cp:keywords/>
  <dc:description/>
  <cp:lastModifiedBy>admin</cp:lastModifiedBy>
  <cp:revision>2</cp:revision>
  <dcterms:created xsi:type="dcterms:W3CDTF">2014-03-04T04:08:00Z</dcterms:created>
  <dcterms:modified xsi:type="dcterms:W3CDTF">2014-03-04T04:08:00Z</dcterms:modified>
</cp:coreProperties>
</file>