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F1" w:rsidRPr="009B2382" w:rsidRDefault="008379F1" w:rsidP="008379F1">
      <w:pPr>
        <w:spacing w:before="120"/>
        <w:jc w:val="center"/>
        <w:rPr>
          <w:b/>
          <w:bCs/>
          <w:sz w:val="32"/>
          <w:szCs w:val="32"/>
        </w:rPr>
      </w:pPr>
      <w:r w:rsidRPr="009B2382">
        <w:rPr>
          <w:b/>
          <w:bCs/>
          <w:sz w:val="32"/>
          <w:szCs w:val="32"/>
        </w:rPr>
        <w:t xml:space="preserve">Тропы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Тропы </w:t>
      </w:r>
      <w:r>
        <w:t>(</w:t>
      </w:r>
      <w:r w:rsidRPr="00AF6591">
        <w:t>греческое tropoi</w:t>
      </w:r>
      <w:r>
        <w:t>)</w:t>
      </w:r>
      <w:r w:rsidRPr="00AF6591">
        <w:t xml:space="preserve"> — термин античной стилистики, обозначающий художественное осмысление и упорядочение семантических изменений слова, разнообразных сдвигов в его семантической структуре. Определение Т. принадлежит к числу наиболее спорных вопросов уже в античной теории стиля. «Троп, — говорит Квинтилиан, — есть изменение собственного значения слова или словесного оборота, при котором получается обогащение значения. Как среди грамматиков, так и среди философов ведется неразрешимый спор о родах, видах, числе тропов и их систематизации».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Основными видами Т. у большинства теоретиков считаются: метафора, метонимия и синекдоха с их подвидами, т. е. Т., основанные на употреблении слова в переносном значении; но наряду с этим в число Т. включается и ряд оборотов, где основное значение слова не сдвигается, но обогащается путем раскрытия в нем новых дополнительных значений (созначений) — каковы эпитет, сравнение, перифраза и др. Во многих случаях уже античные теоретики колеблются, куда отнести тот или другой оборот — к Т. или к фигурам. Так, Цицерон относит перифразу к фигурам, Квинтилиан — к тропам. Оставляя в стороне эти несогласия, можно установить следующие виды Т., описанные у теоретиков древности, Ренессанса и Просвещения: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1. Эпитет (греческое epitheton, латинское appositum) — определяющее слово, преимущественно тогда, когда оно прибавляет новые качества к значению определяемого слова (epitheton ornans — украшающий эпитет). Ср. у Пушкина: «румяная заря»; особое внимание теоретики уделяют эпитету с переносным значением (ср. у Пушкина: «дней моих суровых») и эпитету с противоположным значением — так наз. оксюморону (ср. Некрасова: «убогая роскошь»).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2. Сравнение (латинское comparatio) — раскрытие значения слова путем сопоставления его с другим по какому-то общему признаку (tertium comparationis). Ср. у Пушкина: «быстрее птицы младость». Раскрытие же значения слова путем определения его логического содержания называется истолкованием и относится к фигурам 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3. Перифраза (греческое periphrasis, латинское circumlocutio) — «способ изложения, описывающий простой предмет посредством сложных оборотов». Ср. у Пушкина пародийную перифразу: «Юная питомица Талии и Мельпомены, щедро одаренная Аполлоном» (вм. молодая талантливая актриса). Одним из видов перифразы является евфемизм — замена описательным оборотом слова, по каким-либо причинам признаваемого непристойным. Ср. у Гоголя: «обходиться с помощью платка».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В отличие от перечисленных здесь Т., построенных на обогащении неизмененного основного значения слова, следующие Т. построены на сдвигах основного значения слова.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4. Метафора (латинское translatio) — «употребление слова в переносном значении». </w:t>
      </w:r>
      <w:r>
        <w:t xml:space="preserve"> </w:t>
      </w:r>
      <w:r w:rsidRPr="00AF6591">
        <w:t xml:space="preserve">Классический пример, приводимый Цицероном — «ропот моря». Стечение многих метафор образует аллегорию и загадку.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5. Синекдоха (латинское intellectio) — «случай, когда целая вещь узнается по малой части или когда по целому узнается часть». Классический пример, приводимый Квинтилианом — «корма» вместо «корабль».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6. Метонимия (латинское denominatio) — «замена одного названия предмета другим, заимствуемым у родственных и близких предметов». Ср. у Ломоносова: «читать Вергилия».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7. Антономасия (латинское pronominatio) — замена собственного имени другим, «как бы извне заимствованным прозвищем». Классический пример, приводимый Квинтилианом — «разрушитель Карфагена» вместо «Сципион».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8. Металепсис (латинское transumptio) — «замена, представляющая как бы переход от одного тропа к другому». Ср. у Ломоносова — «десять жатв прошло...: здесь через жатву разумеется лето, через лето — целый год».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Таковы Т., построенные на употреблении слова в переносном значении; теоретики отмечают еще возможность одновременного употребления слова в переносном и прямом смысле (фигура синойкиозы) и возможность стечения противоречащих друг другу метафор (Т. катахрезы — латинское abusio).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Наконец выделяется ряд Т., в </w:t>
      </w:r>
      <w:r>
        <w:t>котор</w:t>
      </w:r>
      <w:r w:rsidRPr="00AF6591">
        <w:t xml:space="preserve">ых изменяется не основное значение слова, но тот или иной оттенок этого значения. Таковы: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9. Гипербола — преувеличение, доведенное до «невозможности». Ср. у Ломоносова: «бег, скорейший ветра и молнии».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10. Литотес — преуменьшение, выражающее посредством отрицательного оборота содержание положительного оборота («немало» в значении «много»).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11. Ирония — выражение в словах противоположного их значению смысла. Ср. приводимую Ломоносовым характеристику Катилины у Цицерона: «Да! Человек он боязливой и прекроткой...». </w:t>
      </w:r>
    </w:p>
    <w:p w:rsidR="008379F1" w:rsidRPr="00AF6591" w:rsidRDefault="008379F1" w:rsidP="008379F1">
      <w:pPr>
        <w:spacing w:before="120"/>
        <w:ind w:firstLine="567"/>
        <w:jc w:val="both"/>
      </w:pPr>
      <w:r w:rsidRPr="00AF6591">
        <w:t xml:space="preserve">Основными Т. теоретики нового времени считают три Т., построенных на сдвигах значения — метафору, метонимию и синекдоху. Значительная часть теоретических построений в стилистике XIX—XX вв. посвящена психологическому или философскому обоснованию выделения этих трех Т. (Бернгарди, Гербер, Вакернагель, Р. Мейер, Эльстер, Бэн, Фишер, на русском языке — Потебня, Харциев и др.). Так пытались обосновать различие между Т. и фигурами как между более и менее совершенными формами чувственного воззрения (Вакернагель) или как между «средствами наглядности» (Mittel der Veranschaulichung) и «средствами настроения» (Mittel der Stimmung — Т. Фишер). В том же плане пытались установить и различия между отдельными Т. — напр. хотели видеть в синекдохе выражение «непосредственного воззрения» (Anschaung), в метонимии — «рефлексии» (Reflexion), в метафоре — «фантазии» (Гербер). Натянутость и условность всех этих построений очевидны. Поскольку, однако, </w:t>
      </w:r>
      <w:r>
        <w:t xml:space="preserve"> </w:t>
      </w:r>
      <w:r w:rsidRPr="00AF6591">
        <w:t xml:space="preserve">непосредственным материалом наблюдения являются языковые факты, ряд теоретиков XIX в. обращается к лингвистическим данным для обоснования учения о Т. и фигурах; так Гербер противопоставляет Т. как стилистические явления в области смысловой стороны языка — фигурам как стилистическому использованию синтактико-грамматического строя языка; на связь стилистических Т. с кругом семантических явлений в языке (в особенности на ранних ступенях его развития) настойчиво указывают Потебня и его школа. Однако все эти попытки найти лингвистические основы стилистических Т. не приводят к положительным результатам при идеалистическом понимании языка и сознания; только при учете стадиальности в развитии мышления и языка можно найти лингвистические основы стилистических Т. и фигур, в частности разъяснить текучесть их границ как результат текучести границ между семантикой и грамматикой в языке, — см. «Семасиология», «Синтаксис», «Язык». Следует далее помнить, что лингвистическое обоснование стилистических Т. отнюдь не заменяет и не устраняет необходимости литературоведческого их рассмотрения как явлений художественного стиля (как это пытались утверждать футуристы). Оценка же Т. и фигур как явлений художественного стиля  возможна лишь в результате конкретного литературно-исторического анализа; в противном случае мы вернемся к тем отвлеченным спорам об абсолютной ценности тех или других Т., </w:t>
      </w:r>
      <w:r>
        <w:t>котор</w:t>
      </w:r>
      <w:r w:rsidRPr="00AF6591">
        <w:t xml:space="preserve">ые встречаются у риторов древности; впрочем, и лучшие умы древности оценивали Т. не абстрактно, а в плане применимости их в жанрах реторических или поэтических (так — Цицерон, Квинтилиан). 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9F1"/>
    <w:rsid w:val="00002B5A"/>
    <w:rsid w:val="00006AD3"/>
    <w:rsid w:val="0010437E"/>
    <w:rsid w:val="001A62E8"/>
    <w:rsid w:val="00616072"/>
    <w:rsid w:val="006A5004"/>
    <w:rsid w:val="00710178"/>
    <w:rsid w:val="00811DEC"/>
    <w:rsid w:val="008379F1"/>
    <w:rsid w:val="008B35EE"/>
    <w:rsid w:val="00905CC1"/>
    <w:rsid w:val="009B2382"/>
    <w:rsid w:val="00A10D57"/>
    <w:rsid w:val="00AF6591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2A90540-F2FB-493F-841E-894025FE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8379F1"/>
    <w:rPr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Тропы </vt:lpstr>
    </vt:vector>
  </TitlesOfParts>
  <Company>Home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Тропы </dc:title>
  <dc:subject/>
  <dc:creator>User</dc:creator>
  <cp:keywords/>
  <dc:description/>
  <cp:lastModifiedBy>admin</cp:lastModifiedBy>
  <cp:revision>2</cp:revision>
  <dcterms:created xsi:type="dcterms:W3CDTF">2014-02-15T03:14:00Z</dcterms:created>
  <dcterms:modified xsi:type="dcterms:W3CDTF">2014-02-15T03:14:00Z</dcterms:modified>
</cp:coreProperties>
</file>